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D9A" w:rsidRDefault="00501756">
      <w:pPr>
        <w:widowControl/>
        <w:spacing w:line="276" w:lineRule="auto"/>
        <w:ind w:right="270"/>
        <w:jc w:val="left"/>
        <w:rPr>
          <w:rFonts w:ascii="Times New Roman" w:eastAsia="彩虹粗仿宋" w:hAnsi="Times New Roman" w:cs="Times New Roman"/>
          <w:kern w:val="0"/>
          <w:sz w:val="24"/>
          <w:szCs w:val="24"/>
          <w:u w:val="single"/>
          <w:lang w:eastAsia="en-US"/>
        </w:rPr>
      </w:pPr>
      <w:r>
        <w:rPr>
          <w:rFonts w:ascii="Times New Roman" w:eastAsia="彩虹粗仿宋" w:hAnsi="Times New Roman" w:cs="Times New Roman"/>
          <w:kern w:val="0"/>
          <w:sz w:val="24"/>
          <w:szCs w:val="24"/>
          <w:u w:val="single"/>
          <w:lang w:eastAsia="en-US"/>
        </w:rPr>
        <w:t>For immediate release</w:t>
      </w:r>
    </w:p>
    <w:p w:rsidR="00264D9A" w:rsidRDefault="00264D9A">
      <w:pPr>
        <w:adjustRightInd w:val="0"/>
        <w:snapToGrid w:val="0"/>
        <w:jc w:val="left"/>
        <w:rPr>
          <w:rFonts w:eastAsia="彩虹小标宋" w:cs="Times New Roman"/>
          <w:sz w:val="28"/>
          <w:szCs w:val="28"/>
        </w:rPr>
      </w:pPr>
    </w:p>
    <w:p w:rsidR="00264D9A" w:rsidRDefault="00501756">
      <w:pPr>
        <w:widowControl/>
        <w:adjustRightInd w:val="0"/>
        <w:snapToGrid w:val="0"/>
        <w:spacing w:line="360" w:lineRule="exact"/>
        <w:ind w:right="274"/>
        <w:jc w:val="center"/>
        <w:rPr>
          <w:rFonts w:ascii="Times New Roman" w:eastAsia="PMingLiU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PMingLiU" w:hAnsi="Times New Roman" w:cs="Times New Roman"/>
          <w:b/>
          <w:bCs/>
          <w:kern w:val="0"/>
          <w:sz w:val="32"/>
          <w:szCs w:val="32"/>
        </w:rPr>
        <w:t xml:space="preserve">Accelerated </w:t>
      </w:r>
      <w:r>
        <w:rPr>
          <w:rFonts w:ascii="Times New Roman" w:hAnsi="Times New Roman" w:cs="Times New Roman" w:hint="eastAsia"/>
          <w:b/>
          <w:bCs/>
          <w:kern w:val="0"/>
          <w:sz w:val="32"/>
          <w:szCs w:val="32"/>
        </w:rPr>
        <w:t xml:space="preserve">the </w:t>
      </w:r>
      <w:r>
        <w:rPr>
          <w:rFonts w:ascii="Times New Roman" w:eastAsia="PMingLiU" w:hAnsi="Times New Roman" w:cs="Times New Roman"/>
          <w:b/>
          <w:bCs/>
          <w:kern w:val="0"/>
          <w:sz w:val="32"/>
          <w:szCs w:val="32"/>
        </w:rPr>
        <w:t xml:space="preserve">Transformation </w:t>
      </w:r>
      <w:r>
        <w:rPr>
          <w:rFonts w:ascii="Times New Roman" w:eastAsia="PMingLiU" w:hAnsi="Times New Roman" w:cs="Times New Roman" w:hint="eastAsia"/>
          <w:b/>
          <w:bCs/>
          <w:kern w:val="0"/>
          <w:sz w:val="32"/>
          <w:szCs w:val="32"/>
        </w:rPr>
        <w:t xml:space="preserve">Process </w:t>
      </w:r>
      <w:r>
        <w:rPr>
          <w:rFonts w:ascii="Times New Roman" w:eastAsia="PMingLiU" w:hAnsi="Times New Roman" w:cs="Times New Roman"/>
          <w:b/>
          <w:bCs/>
          <w:kern w:val="0"/>
          <w:sz w:val="32"/>
          <w:szCs w:val="32"/>
        </w:rPr>
        <w:t>and Achie</w:t>
      </w:r>
      <w:r>
        <w:rPr>
          <w:rFonts w:ascii="Times New Roman" w:eastAsia="PMingLiU" w:hAnsi="Times New Roman" w:cs="Times New Roman" w:hint="eastAsia"/>
          <w:b/>
          <w:bCs/>
          <w:kern w:val="0"/>
          <w:sz w:val="32"/>
          <w:szCs w:val="32"/>
        </w:rPr>
        <w:t>v</w:t>
      </w:r>
      <w:r>
        <w:rPr>
          <w:rFonts w:ascii="Times New Roman" w:eastAsia="PMingLiU" w:hAnsi="Times New Roman" w:cs="Times New Roman"/>
          <w:b/>
          <w:bCs/>
          <w:kern w:val="0"/>
          <w:sz w:val="32"/>
          <w:szCs w:val="32"/>
        </w:rPr>
        <w:t xml:space="preserve">ed a </w:t>
      </w:r>
      <w:bookmarkStart w:id="0" w:name="_GoBack"/>
      <w:bookmarkEnd w:id="0"/>
      <w:r>
        <w:rPr>
          <w:rFonts w:ascii="Times New Roman" w:eastAsia="PMingLiU" w:hAnsi="Times New Roman" w:cs="Times New Roman"/>
          <w:b/>
          <w:bCs/>
          <w:kern w:val="0"/>
          <w:sz w:val="32"/>
          <w:szCs w:val="32"/>
        </w:rPr>
        <w:t>Solid Performance</w:t>
      </w:r>
    </w:p>
    <w:p w:rsidR="00264D9A" w:rsidRDefault="00501756">
      <w:pPr>
        <w:widowControl/>
        <w:adjustRightInd w:val="0"/>
        <w:snapToGrid w:val="0"/>
        <w:spacing w:line="360" w:lineRule="exact"/>
        <w:ind w:right="-64"/>
        <w:jc w:val="center"/>
        <w:rPr>
          <w:rFonts w:ascii="Times New Roman" w:eastAsia="彩虹粗仿宋" w:hAnsi="Times New Roman" w:cs="Times New Roman"/>
          <w:b/>
          <w:bCs/>
          <w:i/>
          <w:iCs/>
          <w:kern w:val="0"/>
          <w:sz w:val="28"/>
          <w:szCs w:val="28"/>
          <w:lang w:eastAsia="en-US"/>
        </w:rPr>
      </w:pPr>
      <w:r>
        <w:rPr>
          <w:rFonts w:ascii="Times New Roman" w:eastAsia="彩虹粗仿宋" w:hAnsi="Times New Roman" w:cs="Times New Roman"/>
          <w:b/>
          <w:bCs/>
          <w:i/>
          <w:iCs/>
          <w:kern w:val="0"/>
          <w:sz w:val="28"/>
          <w:szCs w:val="28"/>
          <w:lang w:eastAsia="en-US"/>
        </w:rPr>
        <w:t xml:space="preserve">China Construction Bank </w:t>
      </w:r>
      <w:r>
        <w:rPr>
          <w:rFonts w:ascii="Times New Roman" w:eastAsia="彩虹粗仿宋" w:hAnsi="Times New Roman" w:cs="Times New Roman" w:hint="eastAsia"/>
          <w:b/>
          <w:bCs/>
          <w:i/>
          <w:iCs/>
          <w:kern w:val="0"/>
          <w:sz w:val="28"/>
          <w:szCs w:val="28"/>
        </w:rPr>
        <w:t>A</w:t>
      </w:r>
      <w:r>
        <w:rPr>
          <w:rFonts w:ascii="Times New Roman" w:eastAsia="彩虹粗仿宋" w:hAnsi="Times New Roman" w:cs="Times New Roman"/>
          <w:b/>
          <w:bCs/>
          <w:i/>
          <w:iCs/>
          <w:kern w:val="0"/>
          <w:sz w:val="28"/>
          <w:szCs w:val="28"/>
          <w:lang w:eastAsia="en-US"/>
        </w:rPr>
        <w:t xml:space="preserve">nnounces </w:t>
      </w:r>
      <w:r>
        <w:rPr>
          <w:rFonts w:ascii="Times New Roman" w:eastAsia="彩虹粗仿宋" w:hAnsi="Times New Roman" w:cs="Times New Roman" w:hint="eastAsia"/>
          <w:b/>
          <w:bCs/>
          <w:i/>
          <w:iCs/>
          <w:kern w:val="0"/>
          <w:sz w:val="28"/>
          <w:szCs w:val="28"/>
        </w:rPr>
        <w:t>O</w:t>
      </w:r>
      <w:r>
        <w:rPr>
          <w:rFonts w:ascii="Times New Roman" w:eastAsia="彩虹粗仿宋" w:hAnsi="Times New Roman" w:cs="Times New Roman"/>
          <w:b/>
          <w:bCs/>
          <w:i/>
          <w:iCs/>
          <w:kern w:val="0"/>
          <w:sz w:val="28"/>
          <w:szCs w:val="28"/>
          <w:lang w:eastAsia="en-US"/>
        </w:rPr>
        <w:t xml:space="preserve">perating </w:t>
      </w:r>
      <w:r>
        <w:rPr>
          <w:rFonts w:ascii="Times New Roman" w:eastAsia="彩虹粗仿宋" w:hAnsi="Times New Roman" w:cs="Times New Roman" w:hint="eastAsia"/>
          <w:b/>
          <w:bCs/>
          <w:i/>
          <w:iCs/>
          <w:kern w:val="0"/>
          <w:sz w:val="28"/>
          <w:szCs w:val="28"/>
        </w:rPr>
        <w:t>R</w:t>
      </w:r>
      <w:r>
        <w:rPr>
          <w:rFonts w:ascii="Times New Roman" w:eastAsia="彩虹粗仿宋" w:hAnsi="Times New Roman" w:cs="Times New Roman"/>
          <w:b/>
          <w:bCs/>
          <w:i/>
          <w:iCs/>
          <w:kern w:val="0"/>
          <w:sz w:val="28"/>
          <w:szCs w:val="28"/>
          <w:lang w:eastAsia="en-US"/>
        </w:rPr>
        <w:t>esults</w:t>
      </w:r>
    </w:p>
    <w:p w:rsidR="00264D9A" w:rsidRDefault="00501756">
      <w:pPr>
        <w:widowControl/>
        <w:adjustRightInd w:val="0"/>
        <w:snapToGrid w:val="0"/>
        <w:spacing w:line="360" w:lineRule="exact"/>
        <w:ind w:right="-64"/>
        <w:jc w:val="center"/>
        <w:rPr>
          <w:rFonts w:ascii="Times New Roman" w:eastAsia="彩虹粗仿宋" w:hAnsi="Times New Roman" w:cs="Times New Roman"/>
          <w:b/>
          <w:bCs/>
          <w:i/>
          <w:iCs/>
          <w:kern w:val="0"/>
          <w:sz w:val="28"/>
          <w:szCs w:val="28"/>
          <w:lang w:eastAsia="en-US"/>
        </w:rPr>
      </w:pPr>
      <w:proofErr w:type="gramStart"/>
      <w:r>
        <w:rPr>
          <w:rFonts w:ascii="Times New Roman" w:eastAsia="彩虹粗仿宋" w:hAnsi="Times New Roman" w:cs="Times New Roman"/>
          <w:b/>
          <w:bCs/>
          <w:i/>
          <w:iCs/>
          <w:kern w:val="0"/>
          <w:sz w:val="28"/>
          <w:szCs w:val="28"/>
          <w:lang w:eastAsia="en-US"/>
        </w:rPr>
        <w:t>for</w:t>
      </w:r>
      <w:proofErr w:type="gramEnd"/>
      <w:r>
        <w:rPr>
          <w:rFonts w:ascii="Times New Roman" w:eastAsia="彩虹粗仿宋" w:hAnsi="Times New Roman" w:cs="Times New Roman"/>
          <w:b/>
          <w:bCs/>
          <w:i/>
          <w:iCs/>
          <w:kern w:val="0"/>
          <w:sz w:val="28"/>
          <w:szCs w:val="28"/>
          <w:lang w:eastAsia="en-US"/>
        </w:rPr>
        <w:t xml:space="preserve"> </w:t>
      </w:r>
      <w:r>
        <w:rPr>
          <w:rFonts w:ascii="Times New Roman" w:eastAsia="彩虹粗仿宋" w:hAnsi="Times New Roman" w:cs="Times New Roman" w:hint="eastAsia"/>
          <w:b/>
          <w:bCs/>
          <w:i/>
          <w:iCs/>
          <w:kern w:val="0"/>
          <w:sz w:val="28"/>
          <w:szCs w:val="28"/>
        </w:rPr>
        <w:t>the T</w:t>
      </w:r>
      <w:r>
        <w:rPr>
          <w:rFonts w:ascii="Times New Roman" w:eastAsia="彩虹粗仿宋" w:hAnsi="Times New Roman" w:cs="Times New Roman" w:hint="eastAsia"/>
          <w:b/>
          <w:bCs/>
          <w:i/>
          <w:iCs/>
          <w:kern w:val="0"/>
          <w:sz w:val="28"/>
          <w:szCs w:val="28"/>
          <w:lang w:eastAsia="en-US"/>
        </w:rPr>
        <w:t>hird</w:t>
      </w:r>
      <w:r>
        <w:rPr>
          <w:rFonts w:ascii="Times New Roman" w:eastAsia="彩虹粗仿宋" w:hAnsi="Times New Roman" w:cs="Times New Roman"/>
          <w:b/>
          <w:bCs/>
          <w:i/>
          <w:iCs/>
          <w:kern w:val="0"/>
          <w:sz w:val="28"/>
          <w:szCs w:val="28"/>
          <w:lang w:eastAsia="en-US"/>
        </w:rPr>
        <w:t xml:space="preserve"> </w:t>
      </w:r>
      <w:r>
        <w:rPr>
          <w:rFonts w:ascii="Times New Roman" w:eastAsia="彩虹粗仿宋" w:hAnsi="Times New Roman" w:cs="Times New Roman" w:hint="eastAsia"/>
          <w:b/>
          <w:bCs/>
          <w:i/>
          <w:iCs/>
          <w:kern w:val="0"/>
          <w:sz w:val="28"/>
          <w:szCs w:val="28"/>
        </w:rPr>
        <w:t>Q</w:t>
      </w:r>
      <w:r>
        <w:rPr>
          <w:rFonts w:ascii="Times New Roman" w:eastAsia="彩虹粗仿宋" w:hAnsi="Times New Roman" w:cs="Times New Roman" w:hint="eastAsia"/>
          <w:b/>
          <w:bCs/>
          <w:i/>
          <w:iCs/>
          <w:kern w:val="0"/>
          <w:sz w:val="28"/>
          <w:szCs w:val="28"/>
          <w:lang w:eastAsia="en-US"/>
        </w:rPr>
        <w:t>uarter</w:t>
      </w:r>
      <w:r>
        <w:rPr>
          <w:rFonts w:ascii="Times New Roman" w:eastAsia="彩虹粗仿宋" w:hAnsi="Times New Roman" w:cs="Times New Roman"/>
          <w:b/>
          <w:bCs/>
          <w:i/>
          <w:iCs/>
          <w:kern w:val="0"/>
          <w:sz w:val="28"/>
          <w:szCs w:val="28"/>
          <w:lang w:eastAsia="en-US"/>
        </w:rPr>
        <w:t xml:space="preserve"> of 2015</w:t>
      </w:r>
    </w:p>
    <w:p w:rsidR="00264D9A" w:rsidRDefault="00264D9A">
      <w:pPr>
        <w:spacing w:line="560" w:lineRule="exact"/>
        <w:ind w:firstLineChars="200" w:firstLine="640"/>
        <w:rPr>
          <w:rFonts w:ascii="彩虹粗仿宋" w:eastAsia="彩虹粗仿宋" w:hAnsi="宋体" w:cs="Times New Roman"/>
          <w:sz w:val="32"/>
          <w:szCs w:val="32"/>
        </w:rPr>
      </w:pPr>
    </w:p>
    <w:p w:rsidR="00264D9A" w:rsidRPr="004B73FC" w:rsidRDefault="00501756" w:rsidP="00D74F8B">
      <w:pPr>
        <w:spacing w:line="560" w:lineRule="exact"/>
        <w:ind w:firstLineChars="200" w:firstLine="482"/>
        <w:rPr>
          <w:rFonts w:ascii="Times New Roman" w:eastAsia="PMingLiU" w:hAnsi="Times New Roman" w:cs="Times New Roman"/>
          <w:kern w:val="0"/>
          <w:sz w:val="24"/>
          <w:szCs w:val="28"/>
        </w:rPr>
      </w:pPr>
      <w:bookmarkStart w:id="1" w:name="OLE_LINK1"/>
      <w:bookmarkStart w:id="2" w:name="OLE_LINK2"/>
      <w:r w:rsidRPr="004B73FC">
        <w:rPr>
          <w:rFonts w:ascii="Times New Roman" w:eastAsia="彩虹粗仿宋" w:hAnsi="Times New Roman" w:cs="Times New Roman"/>
          <w:b/>
          <w:kern w:val="0"/>
          <w:sz w:val="24"/>
          <w:szCs w:val="28"/>
        </w:rPr>
        <w:t xml:space="preserve">Beijing/Hong Kong, </w:t>
      </w:r>
      <w:r w:rsidRPr="00AE0BD5">
        <w:rPr>
          <w:rFonts w:ascii="Times New Roman" w:eastAsia="彩虹粗仿宋" w:hAnsi="Times New Roman" w:cs="Times New Roman"/>
          <w:b/>
          <w:kern w:val="0"/>
          <w:sz w:val="24"/>
          <w:szCs w:val="28"/>
        </w:rPr>
        <w:t>29 October 2015</w:t>
      </w:r>
      <w:r w:rsidRPr="0066715C">
        <w:rPr>
          <w:rFonts w:ascii="Times New Roman" w:eastAsia="彩虹粗仿宋" w:hAnsi="Times New Roman" w:cs="Times New Roman"/>
          <w:sz w:val="32"/>
          <w:szCs w:val="32"/>
        </w:rPr>
        <w:t xml:space="preserve"> </w:t>
      </w:r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t xml:space="preserve">China Construction Bank Corporation (Hong Kong stock code: 939, Shanghai stock code: 601939; “CCB” or the “Bank”) announced its operating results for the third quarter of 2015 on 29 October (note: unless otherwise stated, the data herein has been calculated in accordance with International Financial Reporting Standards on a consolidated basis in RMB). As at 30 September 2015, total assets amounted to </w:t>
      </w:r>
      <w:r w:rsidR="003677AD" w:rsidRPr="008F674A">
        <w:rPr>
          <w:rFonts w:ascii="Times New Roman" w:eastAsia="PMingLiU" w:hAnsi="Times New Roman" w:cs="Times New Roman"/>
          <w:kern w:val="0"/>
          <w:sz w:val="24"/>
          <w:szCs w:val="28"/>
        </w:rPr>
        <w:t>RMB</w:t>
      </w:r>
      <w:r w:rsidR="003677AD" w:rsidRPr="004B73FC">
        <w:rPr>
          <w:rFonts w:ascii="Times New Roman" w:eastAsia="PMingLiU" w:hAnsi="Times New Roman" w:cs="Times New Roman"/>
          <w:kern w:val="0"/>
          <w:sz w:val="24"/>
          <w:szCs w:val="28"/>
        </w:rPr>
        <w:t xml:space="preserve"> </w:t>
      </w:r>
      <w:r w:rsidR="00D74F8B" w:rsidRPr="0066715C">
        <w:rPr>
          <w:rFonts w:ascii="Times New Roman" w:eastAsia="PMingLiU" w:hAnsi="Times New Roman" w:cs="Times New Roman"/>
          <w:kern w:val="0"/>
          <w:sz w:val="24"/>
          <w:szCs w:val="28"/>
        </w:rPr>
        <w:t>18.32</w:t>
      </w:r>
      <w:r w:rsidR="004B73FC" w:rsidRPr="004B73FC">
        <w:rPr>
          <w:rFonts w:ascii="Times New Roman" w:eastAsiaTheme="minorEastAsia" w:hAnsi="Times New Roman" w:cs="Times New Roman"/>
          <w:kern w:val="0"/>
          <w:sz w:val="24"/>
          <w:szCs w:val="28"/>
        </w:rPr>
        <w:t xml:space="preserve"> </w:t>
      </w:r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t xml:space="preserve">trillion, an increase of RMB </w:t>
      </w:r>
      <w:r w:rsidR="00D74F8B" w:rsidRPr="0066715C">
        <w:rPr>
          <w:rFonts w:ascii="Times New Roman" w:eastAsiaTheme="minorEastAsia" w:hAnsi="Times New Roman" w:cs="Times New Roman"/>
          <w:kern w:val="0"/>
          <w:sz w:val="24"/>
          <w:szCs w:val="28"/>
        </w:rPr>
        <w:t>1.58</w:t>
      </w:r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t xml:space="preserve"> trillion, up </w:t>
      </w:r>
      <w:r w:rsidR="00D74F8B" w:rsidRPr="004B73FC">
        <w:rPr>
          <w:rFonts w:ascii="Times New Roman" w:eastAsiaTheme="minorEastAsia" w:hAnsi="Times New Roman" w:cs="Times New Roman"/>
          <w:kern w:val="0"/>
          <w:sz w:val="24"/>
          <w:szCs w:val="28"/>
        </w:rPr>
        <w:t>9.42</w:t>
      </w:r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t>% from the end of last year.</w:t>
      </w:r>
    </w:p>
    <w:p w:rsidR="00264D9A" w:rsidRPr="004B73FC" w:rsidRDefault="00501756">
      <w:pPr>
        <w:spacing w:line="560" w:lineRule="exact"/>
        <w:ind w:firstLineChars="200" w:firstLine="480"/>
        <w:rPr>
          <w:rFonts w:ascii="Times New Roman" w:eastAsia="PMingLiU" w:hAnsi="Times New Roman" w:cs="Times New Roman"/>
          <w:kern w:val="0"/>
          <w:sz w:val="24"/>
          <w:szCs w:val="28"/>
        </w:rPr>
      </w:pPr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t xml:space="preserve">Since </w:t>
      </w:r>
      <w:r w:rsidRPr="004B73FC">
        <w:rPr>
          <w:rFonts w:ascii="Times New Roman" w:eastAsia="彩虹粗仿宋" w:hAnsi="Times New Roman" w:cs="Times New Roman"/>
          <w:sz w:val="24"/>
          <w:szCs w:val="24"/>
        </w:rPr>
        <w:t>the beginning of</w:t>
      </w:r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t xml:space="preserve"> 2015, the Bank has been accelerating its </w:t>
      </w:r>
      <w:r w:rsidRPr="004B73FC">
        <w:rPr>
          <w:rFonts w:ascii="Times New Roman" w:hAnsi="Times New Roman" w:cs="Times New Roman"/>
          <w:kern w:val="0"/>
          <w:sz w:val="24"/>
          <w:szCs w:val="28"/>
        </w:rPr>
        <w:t xml:space="preserve">strategic </w:t>
      </w:r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t xml:space="preserve">transformation and </w:t>
      </w:r>
      <w:r w:rsidRPr="004B73FC">
        <w:rPr>
          <w:rFonts w:ascii="Times New Roman" w:hAnsi="Times New Roman" w:cs="Times New Roman"/>
          <w:kern w:val="0"/>
          <w:sz w:val="24"/>
          <w:szCs w:val="28"/>
        </w:rPr>
        <w:t xml:space="preserve">has </w:t>
      </w:r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t xml:space="preserve">achieved a solid performance </w:t>
      </w:r>
      <w:r w:rsidRPr="004B73FC">
        <w:rPr>
          <w:rFonts w:ascii="Times New Roman" w:hAnsi="Times New Roman" w:cs="Times New Roman"/>
          <w:kern w:val="0"/>
          <w:sz w:val="24"/>
          <w:szCs w:val="28"/>
        </w:rPr>
        <w:t xml:space="preserve">in </w:t>
      </w:r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t xml:space="preserve">key indicators. </w:t>
      </w:r>
      <w:proofErr w:type="gramStart"/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t xml:space="preserve">As at 30 September 2015, net profit increased by </w:t>
      </w:r>
      <w:r w:rsidR="006769FA" w:rsidRPr="0066715C">
        <w:rPr>
          <w:rFonts w:ascii="Times New Roman" w:eastAsiaTheme="minorEastAsia" w:hAnsi="Times New Roman" w:cs="Times New Roman"/>
          <w:kern w:val="0"/>
          <w:sz w:val="24"/>
          <w:szCs w:val="28"/>
        </w:rPr>
        <w:t>0.73</w:t>
      </w:r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t xml:space="preserve">% year-on-year to </w:t>
      </w:r>
      <w:r w:rsidR="004B73FC" w:rsidRPr="001D4A61">
        <w:rPr>
          <w:rFonts w:ascii="Times New Roman" w:eastAsia="PMingLiU" w:hAnsi="Times New Roman" w:cs="Times New Roman"/>
          <w:kern w:val="0"/>
          <w:sz w:val="24"/>
          <w:szCs w:val="28"/>
        </w:rPr>
        <w:t>RMB</w:t>
      </w:r>
      <w:r w:rsidR="004B73FC" w:rsidRPr="004B73FC">
        <w:rPr>
          <w:rFonts w:ascii="Times New Roman" w:eastAsiaTheme="minorEastAsia" w:hAnsi="Times New Roman" w:cs="Times New Roman"/>
          <w:kern w:val="0"/>
          <w:sz w:val="24"/>
          <w:szCs w:val="28"/>
        </w:rPr>
        <w:t xml:space="preserve"> </w:t>
      </w:r>
      <w:r w:rsidR="006769FA" w:rsidRPr="0066715C">
        <w:rPr>
          <w:rFonts w:ascii="Times New Roman" w:eastAsiaTheme="minorEastAsia" w:hAnsi="Times New Roman" w:cs="Times New Roman"/>
          <w:kern w:val="0"/>
          <w:sz w:val="24"/>
          <w:szCs w:val="28"/>
        </w:rPr>
        <w:t>192.08</w:t>
      </w:r>
      <w:r w:rsidR="004B73FC">
        <w:rPr>
          <w:rFonts w:ascii="Times New Roman" w:eastAsiaTheme="minorEastAsia" w:hAnsi="Times New Roman" w:cs="Times New Roman" w:hint="eastAsia"/>
          <w:kern w:val="0"/>
          <w:sz w:val="24"/>
          <w:szCs w:val="28"/>
        </w:rPr>
        <w:t xml:space="preserve"> </w:t>
      </w:r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t>billion.</w:t>
      </w:r>
      <w:proofErr w:type="gramEnd"/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t xml:space="preserve"> The </w:t>
      </w:r>
      <w:proofErr w:type="spellStart"/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t>annualised</w:t>
      </w:r>
      <w:proofErr w:type="spellEnd"/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t xml:space="preserve"> return on average assets and </w:t>
      </w:r>
      <w:proofErr w:type="spellStart"/>
      <w:r w:rsidR="0064252B" w:rsidRPr="004B73FC">
        <w:rPr>
          <w:rFonts w:ascii="Times New Roman" w:eastAsia="PMingLiU" w:hAnsi="Times New Roman" w:cs="Times New Roman"/>
          <w:kern w:val="0"/>
          <w:sz w:val="24"/>
          <w:szCs w:val="28"/>
        </w:rPr>
        <w:t>annualised</w:t>
      </w:r>
      <w:proofErr w:type="spellEnd"/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t xml:space="preserve"> return on average equity were </w:t>
      </w:r>
      <w:r w:rsidR="006769FA" w:rsidRPr="0066715C">
        <w:rPr>
          <w:rFonts w:ascii="Times New Roman" w:eastAsiaTheme="minorEastAsia" w:hAnsi="Times New Roman" w:cs="Times New Roman"/>
          <w:kern w:val="0"/>
          <w:sz w:val="24"/>
          <w:szCs w:val="28"/>
        </w:rPr>
        <w:t>1.46</w:t>
      </w:r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t xml:space="preserve">% and </w:t>
      </w:r>
      <w:r w:rsidR="006769FA" w:rsidRPr="0066715C">
        <w:rPr>
          <w:rFonts w:ascii="Times New Roman" w:eastAsiaTheme="minorEastAsia" w:hAnsi="Times New Roman" w:cs="Times New Roman"/>
          <w:kern w:val="0"/>
          <w:sz w:val="24"/>
          <w:szCs w:val="28"/>
        </w:rPr>
        <w:t>19.45</w:t>
      </w:r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t>% respectively.</w:t>
      </w:r>
    </w:p>
    <w:p w:rsidR="004B73FC" w:rsidRDefault="004B73FC" w:rsidP="004B73FC">
      <w:pPr>
        <w:spacing w:line="560" w:lineRule="exact"/>
        <w:ind w:firstLineChars="200" w:firstLine="480"/>
        <w:rPr>
          <w:rFonts w:ascii="Times New Roman" w:eastAsiaTheme="minorEastAsia" w:hAnsi="Times New Roman" w:cs="Times New Roman"/>
          <w:kern w:val="0"/>
          <w:sz w:val="24"/>
          <w:szCs w:val="28"/>
        </w:rPr>
      </w:pPr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t xml:space="preserve">As at 30 September 2015, gross loans and advances to customers grew by </w:t>
      </w:r>
      <w:r>
        <w:rPr>
          <w:rFonts w:ascii="Times New Roman" w:eastAsiaTheme="minorEastAsia" w:hAnsi="Times New Roman" w:cs="Times New Roman" w:hint="eastAsia"/>
          <w:kern w:val="0"/>
          <w:sz w:val="24"/>
          <w:szCs w:val="28"/>
        </w:rPr>
        <w:t>9.34</w:t>
      </w:r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t xml:space="preserve">% to RMB </w:t>
      </w:r>
      <w:r>
        <w:rPr>
          <w:rFonts w:ascii="Times New Roman" w:eastAsiaTheme="minorEastAsia" w:hAnsi="Times New Roman" w:cs="Times New Roman" w:hint="eastAsia"/>
          <w:kern w:val="0"/>
          <w:sz w:val="24"/>
          <w:szCs w:val="28"/>
        </w:rPr>
        <w:t>10.36</w:t>
      </w:r>
      <w:r w:rsidR="003677AD">
        <w:rPr>
          <w:rFonts w:ascii="Times New Roman" w:eastAsia="PMingLiU" w:hAnsi="Times New Roman" w:cs="Times New Roman"/>
          <w:kern w:val="0"/>
          <w:sz w:val="24"/>
          <w:szCs w:val="28"/>
        </w:rPr>
        <w:t xml:space="preserve"> trillion</w:t>
      </w:r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t xml:space="preserve">, an increase of RMB </w:t>
      </w:r>
      <w:r>
        <w:rPr>
          <w:rFonts w:ascii="Times New Roman" w:eastAsiaTheme="minorEastAsia" w:hAnsi="Times New Roman" w:cs="Times New Roman" w:hint="eastAsia"/>
          <w:kern w:val="0"/>
          <w:sz w:val="24"/>
          <w:szCs w:val="28"/>
        </w:rPr>
        <w:t>885.12</w:t>
      </w:r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t xml:space="preserve"> billi</w:t>
      </w:r>
      <w:r>
        <w:rPr>
          <w:rFonts w:ascii="Times New Roman" w:eastAsia="PMingLiU" w:hAnsi="Times New Roman" w:cs="Times New Roman"/>
          <w:kern w:val="0"/>
          <w:sz w:val="24"/>
          <w:szCs w:val="28"/>
        </w:rPr>
        <w:t xml:space="preserve">on over the end of last year. </w:t>
      </w:r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t xml:space="preserve"> Deposits from customers rose by </w:t>
      </w:r>
      <w:r>
        <w:rPr>
          <w:rFonts w:ascii="Times New Roman" w:eastAsiaTheme="minorEastAsia" w:hAnsi="Times New Roman" w:cs="Times New Roman" w:hint="eastAsia"/>
          <w:kern w:val="0"/>
          <w:sz w:val="24"/>
          <w:szCs w:val="28"/>
        </w:rPr>
        <w:t>7.20</w:t>
      </w:r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t xml:space="preserve">% to RMB </w:t>
      </w:r>
      <w:r>
        <w:rPr>
          <w:rFonts w:ascii="Times New Roman" w:eastAsiaTheme="minorEastAsia" w:hAnsi="Times New Roman" w:cs="Times New Roman" w:hint="eastAsia"/>
          <w:kern w:val="0"/>
          <w:sz w:val="24"/>
          <w:szCs w:val="28"/>
        </w:rPr>
        <w:t>13.83</w:t>
      </w:r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t xml:space="preserve"> trillion</w:t>
      </w:r>
      <w:r>
        <w:rPr>
          <w:rFonts w:ascii="Times New Roman" w:eastAsiaTheme="minorEastAsia" w:hAnsi="Times New Roman" w:cs="Times New Roman" w:hint="eastAsia"/>
          <w:kern w:val="0"/>
          <w:sz w:val="24"/>
          <w:szCs w:val="28"/>
        </w:rPr>
        <w:t xml:space="preserve">, </w:t>
      </w:r>
      <w:r w:rsidRPr="004B73FC">
        <w:rPr>
          <w:rFonts w:ascii="Times New Roman" w:eastAsiaTheme="minorEastAsia" w:hAnsi="Times New Roman" w:cs="Times New Roman"/>
          <w:kern w:val="0"/>
          <w:sz w:val="24"/>
          <w:szCs w:val="28"/>
        </w:rPr>
        <w:t xml:space="preserve">an increase of RMB </w:t>
      </w:r>
      <w:r>
        <w:rPr>
          <w:rFonts w:ascii="Times New Roman" w:eastAsiaTheme="minorEastAsia" w:hAnsi="Times New Roman" w:cs="Times New Roman" w:hint="eastAsia"/>
          <w:kern w:val="0"/>
          <w:sz w:val="24"/>
          <w:szCs w:val="28"/>
        </w:rPr>
        <w:t xml:space="preserve">928.56 </w:t>
      </w:r>
      <w:r>
        <w:rPr>
          <w:rFonts w:ascii="Times New Roman" w:eastAsiaTheme="minorEastAsia" w:hAnsi="Times New Roman" w:cs="Times New Roman"/>
          <w:kern w:val="0"/>
          <w:sz w:val="24"/>
          <w:szCs w:val="28"/>
        </w:rPr>
        <w:t>billion</w:t>
      </w:r>
      <w:r w:rsidRPr="004B73FC">
        <w:rPr>
          <w:rFonts w:ascii="Times New Roman" w:eastAsiaTheme="minorEastAsia" w:hAnsi="Times New Roman" w:cs="Times New Roman"/>
          <w:kern w:val="0"/>
          <w:sz w:val="24"/>
          <w:szCs w:val="28"/>
        </w:rPr>
        <w:t xml:space="preserve"> over the end of last year</w:t>
      </w:r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t xml:space="preserve">. </w:t>
      </w:r>
    </w:p>
    <w:p w:rsidR="00264D9A" w:rsidRPr="004B73FC" w:rsidRDefault="00501756" w:rsidP="004B73FC">
      <w:pPr>
        <w:spacing w:line="560" w:lineRule="exact"/>
        <w:ind w:firstLineChars="200" w:firstLine="480"/>
        <w:rPr>
          <w:rFonts w:ascii="Times New Roman" w:eastAsia="PMingLiU" w:hAnsi="Times New Roman" w:cs="Times New Roman"/>
          <w:kern w:val="0"/>
          <w:sz w:val="24"/>
          <w:szCs w:val="28"/>
        </w:rPr>
      </w:pPr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t xml:space="preserve">While maintaining </w:t>
      </w:r>
      <w:r w:rsidRPr="004B73FC">
        <w:rPr>
          <w:rFonts w:ascii="Times New Roman" w:hAnsi="Times New Roman" w:cs="Times New Roman"/>
          <w:kern w:val="0"/>
          <w:sz w:val="24"/>
          <w:szCs w:val="28"/>
        </w:rPr>
        <w:t xml:space="preserve">a </w:t>
      </w:r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t xml:space="preserve">robust </w:t>
      </w:r>
      <w:r w:rsidRPr="004B73FC">
        <w:rPr>
          <w:rFonts w:ascii="Times New Roman" w:hAnsi="Times New Roman" w:cs="Times New Roman"/>
          <w:kern w:val="0"/>
          <w:sz w:val="24"/>
          <w:szCs w:val="28"/>
        </w:rPr>
        <w:t>growth</w:t>
      </w:r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t xml:space="preserve"> in loans and deposits, the </w:t>
      </w:r>
      <w:r w:rsidRPr="004B73FC">
        <w:rPr>
          <w:rFonts w:ascii="Times New Roman" w:hAnsi="Times New Roman" w:cs="Times New Roman"/>
          <w:kern w:val="0"/>
          <w:sz w:val="24"/>
          <w:szCs w:val="28"/>
        </w:rPr>
        <w:t>Bank</w:t>
      </w:r>
      <w:r w:rsidR="000E7898" w:rsidRPr="004B73FC">
        <w:rPr>
          <w:rFonts w:ascii="Times New Roman" w:hAnsi="Times New Roman" w:cs="Times New Roman"/>
          <w:kern w:val="0"/>
          <w:sz w:val="24"/>
          <w:szCs w:val="28"/>
        </w:rPr>
        <w:t xml:space="preserve">’s fee-based business has been growing steadily. As of the end of September, </w:t>
      </w:r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t xml:space="preserve">commission income </w:t>
      </w:r>
      <w:r w:rsidR="000E7898" w:rsidRPr="004B73FC">
        <w:rPr>
          <w:rFonts w:ascii="Times New Roman" w:eastAsiaTheme="minorEastAsia" w:hAnsi="Times New Roman" w:cs="Times New Roman"/>
          <w:kern w:val="0"/>
          <w:sz w:val="24"/>
          <w:szCs w:val="28"/>
        </w:rPr>
        <w:t xml:space="preserve">has increased by RMB </w:t>
      </w:r>
      <w:r w:rsidR="006769FA" w:rsidRPr="004B73FC">
        <w:rPr>
          <w:rFonts w:ascii="Times New Roman" w:eastAsiaTheme="minorEastAsia" w:hAnsi="Times New Roman" w:cs="Times New Roman"/>
          <w:kern w:val="0"/>
          <w:sz w:val="24"/>
          <w:szCs w:val="28"/>
        </w:rPr>
        <w:t>88.69 billion</w:t>
      </w:r>
      <w:r w:rsidR="000E7898" w:rsidRPr="004B73FC">
        <w:rPr>
          <w:rFonts w:ascii="Times New Roman" w:eastAsiaTheme="minorEastAsia" w:hAnsi="Times New Roman" w:cs="Times New Roman"/>
          <w:kern w:val="0"/>
          <w:sz w:val="24"/>
          <w:szCs w:val="28"/>
        </w:rPr>
        <w:t xml:space="preserve">, up </w:t>
      </w:r>
      <w:r w:rsidR="006769FA" w:rsidRPr="004B73FC">
        <w:rPr>
          <w:rFonts w:ascii="Times New Roman" w:eastAsiaTheme="minorEastAsia" w:hAnsi="Times New Roman" w:cs="Times New Roman"/>
          <w:kern w:val="0"/>
          <w:sz w:val="24"/>
          <w:szCs w:val="28"/>
        </w:rPr>
        <w:t>5.83</w:t>
      </w:r>
      <w:r w:rsidR="000E7898" w:rsidRPr="004B73FC">
        <w:rPr>
          <w:rFonts w:ascii="Times New Roman" w:eastAsiaTheme="minorEastAsia" w:hAnsi="Times New Roman" w:cs="Times New Roman"/>
          <w:kern w:val="0"/>
          <w:sz w:val="24"/>
          <w:szCs w:val="28"/>
        </w:rPr>
        <w:t xml:space="preserve">% compared to the same period last year. </w:t>
      </w:r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lastRenderedPageBreak/>
        <w:t xml:space="preserve">Traditionally advantageous businesses, such as </w:t>
      </w:r>
      <w:r w:rsidRPr="004B73FC">
        <w:rPr>
          <w:rFonts w:ascii="Times New Roman" w:hAnsi="Times New Roman" w:cs="Times New Roman"/>
          <w:kern w:val="0"/>
          <w:sz w:val="24"/>
          <w:szCs w:val="28"/>
        </w:rPr>
        <w:t>housing reform finance</w:t>
      </w:r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t xml:space="preserve">, </w:t>
      </w:r>
      <w:r w:rsidRPr="004B73FC">
        <w:rPr>
          <w:rFonts w:ascii="Times New Roman" w:hAnsi="Times New Roman" w:cs="Times New Roman"/>
          <w:kern w:val="0"/>
          <w:sz w:val="24"/>
          <w:szCs w:val="28"/>
        </w:rPr>
        <w:t>developed</w:t>
      </w:r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t xml:space="preserve"> steadily and other services, such as credit card, wealth management, agency fund sales and </w:t>
      </w:r>
      <w:proofErr w:type="spellStart"/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t>bancassurance</w:t>
      </w:r>
      <w:proofErr w:type="spellEnd"/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t xml:space="preserve"> </w:t>
      </w:r>
      <w:r w:rsidRPr="004B73FC">
        <w:rPr>
          <w:rFonts w:ascii="Times New Roman" w:hAnsi="Times New Roman" w:cs="Times New Roman"/>
          <w:kern w:val="0"/>
          <w:sz w:val="24"/>
          <w:szCs w:val="28"/>
        </w:rPr>
        <w:t>expanded</w:t>
      </w:r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t xml:space="preserve"> at a </w:t>
      </w:r>
      <w:r w:rsidRPr="004B73FC">
        <w:rPr>
          <w:rFonts w:ascii="Times New Roman" w:hAnsi="Times New Roman" w:cs="Times New Roman"/>
          <w:kern w:val="0"/>
          <w:sz w:val="24"/>
          <w:szCs w:val="28"/>
        </w:rPr>
        <w:t>relatively</w:t>
      </w:r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t xml:space="preserve"> fast pace.</w:t>
      </w:r>
    </w:p>
    <w:p w:rsidR="00264D9A" w:rsidRPr="004B73FC" w:rsidRDefault="00501756">
      <w:pPr>
        <w:spacing w:line="560" w:lineRule="exact"/>
        <w:ind w:firstLineChars="200" w:firstLine="480"/>
        <w:rPr>
          <w:rFonts w:ascii="Times New Roman" w:eastAsia="PMingLiU" w:hAnsi="Times New Roman" w:cs="Times New Roman"/>
          <w:kern w:val="0"/>
          <w:sz w:val="24"/>
          <w:szCs w:val="28"/>
        </w:rPr>
      </w:pPr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t xml:space="preserve">Since </w:t>
      </w:r>
      <w:r w:rsidRPr="004B73FC">
        <w:rPr>
          <w:rFonts w:ascii="Times New Roman" w:eastAsia="彩虹粗仿宋" w:hAnsi="Times New Roman" w:cs="Times New Roman"/>
          <w:sz w:val="24"/>
          <w:szCs w:val="24"/>
        </w:rPr>
        <w:t>the beginning of</w:t>
      </w:r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t xml:space="preserve"> 2015, </w:t>
      </w:r>
      <w:r w:rsidRPr="004B73FC">
        <w:rPr>
          <w:rFonts w:ascii="Times New Roman" w:hAnsi="Times New Roman" w:cs="Times New Roman"/>
          <w:kern w:val="0"/>
          <w:sz w:val="24"/>
          <w:szCs w:val="28"/>
        </w:rPr>
        <w:t xml:space="preserve">CCB has </w:t>
      </w:r>
      <w:r w:rsidRPr="004B73FC">
        <w:rPr>
          <w:rFonts w:ascii="Times New Roman" w:eastAsia="彩虹粗仿宋" w:hAnsi="Times New Roman" w:cs="Times New Roman"/>
          <w:sz w:val="24"/>
          <w:szCs w:val="24"/>
        </w:rPr>
        <w:t xml:space="preserve">proactively responded to the evolving macro-economic environment and </w:t>
      </w:r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t>advance</w:t>
      </w:r>
      <w:r w:rsidRPr="004B73FC">
        <w:rPr>
          <w:rFonts w:ascii="Times New Roman" w:hAnsi="Times New Roman" w:cs="Times New Roman"/>
          <w:kern w:val="0"/>
          <w:sz w:val="24"/>
          <w:szCs w:val="28"/>
        </w:rPr>
        <w:t>d</w:t>
      </w:r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t xml:space="preserve"> </w:t>
      </w:r>
      <w:r w:rsidRPr="004B73FC">
        <w:rPr>
          <w:rFonts w:ascii="Times New Roman" w:hAnsi="Times New Roman" w:cs="Times New Roman"/>
          <w:kern w:val="0"/>
          <w:sz w:val="24"/>
          <w:szCs w:val="28"/>
        </w:rPr>
        <w:t xml:space="preserve">the transition and innovation of </w:t>
      </w:r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t xml:space="preserve">risk management. In addition, the Bank has </w:t>
      </w:r>
      <w:r w:rsidRPr="004B73FC">
        <w:rPr>
          <w:rFonts w:ascii="Times New Roman" w:hAnsi="Times New Roman" w:cs="Times New Roman"/>
          <w:kern w:val="0"/>
          <w:sz w:val="24"/>
          <w:szCs w:val="28"/>
        </w:rPr>
        <w:t xml:space="preserve">intensified </w:t>
      </w:r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t xml:space="preserve">credit risk control, promoted </w:t>
      </w:r>
      <w:r w:rsidRPr="004B73FC">
        <w:rPr>
          <w:rFonts w:ascii="Times New Roman" w:hAnsi="Times New Roman" w:cs="Times New Roman"/>
          <w:kern w:val="0"/>
          <w:sz w:val="24"/>
          <w:szCs w:val="28"/>
        </w:rPr>
        <w:t>professional</w:t>
      </w:r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t xml:space="preserve"> credit </w:t>
      </w:r>
      <w:r w:rsidRPr="004B73FC">
        <w:rPr>
          <w:rFonts w:ascii="Times New Roman" w:hAnsi="Times New Roman" w:cs="Times New Roman"/>
          <w:kern w:val="0"/>
          <w:sz w:val="24"/>
          <w:szCs w:val="28"/>
        </w:rPr>
        <w:t>granting</w:t>
      </w:r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t xml:space="preserve"> and implemented assessment transformation</w:t>
      </w:r>
      <w:r w:rsidRPr="004B73FC">
        <w:rPr>
          <w:rFonts w:ascii="Times New Roman" w:hAnsi="Times New Roman" w:cs="Times New Roman"/>
          <w:kern w:val="0"/>
          <w:sz w:val="24"/>
          <w:szCs w:val="28"/>
        </w:rPr>
        <w:t xml:space="preserve"> by establishing</w:t>
      </w:r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t xml:space="preserve"> </w:t>
      </w:r>
      <w:proofErr w:type="spellStart"/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t>centralised</w:t>
      </w:r>
      <w:proofErr w:type="spellEnd"/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t xml:space="preserve"> loan-granting </w:t>
      </w:r>
      <w:proofErr w:type="spellStart"/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t>centres</w:t>
      </w:r>
      <w:proofErr w:type="spellEnd"/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t xml:space="preserve"> in the tier-one branches. The Bank also continued to conduct </w:t>
      </w:r>
      <w:r w:rsidRPr="004B73FC">
        <w:rPr>
          <w:rFonts w:ascii="Times New Roman" w:hAnsi="Times New Roman" w:cs="Times New Roman"/>
          <w:kern w:val="0"/>
          <w:sz w:val="24"/>
          <w:szCs w:val="28"/>
        </w:rPr>
        <w:t xml:space="preserve">risk early-warning and </w:t>
      </w:r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t xml:space="preserve">inspection to improve forward-looking risk management ability. </w:t>
      </w:r>
      <w:r w:rsidRPr="004B73FC">
        <w:rPr>
          <w:rFonts w:ascii="Times New Roman" w:hAnsi="Times New Roman" w:cs="Times New Roman"/>
          <w:kern w:val="0"/>
          <w:sz w:val="24"/>
          <w:szCs w:val="28"/>
        </w:rPr>
        <w:t>Moreover</w:t>
      </w:r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t xml:space="preserve">, the Bank </w:t>
      </w:r>
      <w:r w:rsidRPr="004B73FC">
        <w:rPr>
          <w:rFonts w:ascii="Times New Roman" w:hAnsi="Times New Roman" w:cs="Times New Roman"/>
          <w:kern w:val="0"/>
          <w:sz w:val="24"/>
          <w:szCs w:val="28"/>
        </w:rPr>
        <w:t xml:space="preserve">facilitated credit structural adjustment, </w:t>
      </w:r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t xml:space="preserve">broadened risk </w:t>
      </w:r>
      <w:r w:rsidRPr="004B73FC">
        <w:rPr>
          <w:rFonts w:ascii="Times New Roman" w:hAnsi="Times New Roman" w:cs="Times New Roman"/>
          <w:kern w:val="0"/>
          <w:sz w:val="24"/>
          <w:szCs w:val="28"/>
        </w:rPr>
        <w:t>resolving</w:t>
      </w:r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t xml:space="preserve"> channels and </w:t>
      </w:r>
      <w:r w:rsidRPr="004B73FC">
        <w:rPr>
          <w:rFonts w:ascii="Times New Roman" w:hAnsi="Times New Roman" w:cs="Times New Roman"/>
          <w:kern w:val="0"/>
          <w:sz w:val="24"/>
          <w:szCs w:val="28"/>
        </w:rPr>
        <w:t>expedited</w:t>
      </w:r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t xml:space="preserve"> the disposal of non-performing loans (NPL) to ensure stable credit asset quality. As at 30 September 2015, the </w:t>
      </w:r>
      <w:r w:rsidRPr="004B73FC">
        <w:rPr>
          <w:rFonts w:ascii="Times New Roman" w:hAnsi="Times New Roman" w:cs="Times New Roman"/>
          <w:kern w:val="0"/>
          <w:sz w:val="24"/>
          <w:szCs w:val="28"/>
        </w:rPr>
        <w:t>Bank</w:t>
      </w:r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t xml:space="preserve">’s NPLs were RMB </w:t>
      </w:r>
      <w:r w:rsidR="006769FA" w:rsidRPr="004B73FC">
        <w:rPr>
          <w:rFonts w:ascii="Times New Roman" w:eastAsiaTheme="minorEastAsia" w:hAnsi="Times New Roman" w:cs="Times New Roman"/>
          <w:kern w:val="0"/>
          <w:sz w:val="24"/>
          <w:szCs w:val="28"/>
        </w:rPr>
        <w:t>149.97 billion</w:t>
      </w:r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t xml:space="preserve">, while the NPL ratio and the ratio of allowances to NPLs stood at </w:t>
      </w:r>
      <w:r w:rsidR="006769FA" w:rsidRPr="004B73FC">
        <w:rPr>
          <w:rFonts w:ascii="Times New Roman" w:eastAsiaTheme="minorEastAsia" w:hAnsi="Times New Roman" w:cs="Times New Roman"/>
          <w:kern w:val="0"/>
          <w:sz w:val="24"/>
          <w:szCs w:val="28"/>
        </w:rPr>
        <w:t>1.45</w:t>
      </w:r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t>%</w:t>
      </w:r>
      <w:r w:rsidRPr="004B73FC">
        <w:rPr>
          <w:rFonts w:ascii="Times New Roman" w:hAnsi="Times New Roman" w:cs="Times New Roman"/>
          <w:kern w:val="0"/>
          <w:sz w:val="24"/>
          <w:szCs w:val="28"/>
        </w:rPr>
        <w:t xml:space="preserve"> and</w:t>
      </w:r>
      <w:r w:rsidR="003677AD">
        <w:rPr>
          <w:rFonts w:ascii="Times New Roman" w:hAnsi="Times New Roman" w:cs="Times New Roman" w:hint="eastAsia"/>
          <w:kern w:val="0"/>
          <w:sz w:val="24"/>
          <w:szCs w:val="28"/>
        </w:rPr>
        <w:t xml:space="preserve"> </w:t>
      </w:r>
      <w:r w:rsidR="006769FA" w:rsidRPr="004B73FC">
        <w:rPr>
          <w:rFonts w:ascii="Times New Roman" w:hAnsi="Times New Roman" w:cs="Times New Roman"/>
          <w:kern w:val="0"/>
          <w:sz w:val="24"/>
          <w:szCs w:val="28"/>
        </w:rPr>
        <w:t>178.99</w:t>
      </w:r>
      <w:r w:rsidRPr="004B73FC">
        <w:rPr>
          <w:rFonts w:ascii="Times New Roman" w:hAnsi="Times New Roman" w:cs="Times New Roman"/>
          <w:kern w:val="0"/>
          <w:sz w:val="24"/>
          <w:szCs w:val="28"/>
        </w:rPr>
        <w:t xml:space="preserve">% </w:t>
      </w:r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t>respectively.</w:t>
      </w:r>
    </w:p>
    <w:p w:rsidR="00264D9A" w:rsidRPr="0066715C" w:rsidRDefault="00501756" w:rsidP="006769FA">
      <w:pPr>
        <w:spacing w:line="560" w:lineRule="exact"/>
        <w:ind w:firstLineChars="200" w:firstLine="480"/>
        <w:rPr>
          <w:rFonts w:ascii="Times New Roman" w:eastAsiaTheme="minorEastAsia" w:hAnsi="Times New Roman" w:cs="Times New Roman"/>
          <w:kern w:val="0"/>
          <w:sz w:val="24"/>
          <w:szCs w:val="28"/>
        </w:rPr>
      </w:pPr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t xml:space="preserve">According to the </w:t>
      </w:r>
      <w:r w:rsidRPr="004B73FC">
        <w:rPr>
          <w:rFonts w:ascii="Times New Roman" w:hAnsi="Times New Roman" w:cs="Times New Roman"/>
          <w:kern w:val="0"/>
          <w:sz w:val="24"/>
          <w:szCs w:val="28"/>
        </w:rPr>
        <w:t xml:space="preserve">Bank’s </w:t>
      </w:r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t xml:space="preserve">quarterly report, as at 30 September 2015, based on the </w:t>
      </w:r>
      <w:r w:rsidRPr="004B73FC">
        <w:rPr>
          <w:rFonts w:ascii="Times New Roman" w:eastAsia="PMingLiU" w:hAnsi="Times New Roman" w:cs="Times New Roman"/>
          <w:i/>
          <w:kern w:val="0"/>
          <w:sz w:val="24"/>
          <w:szCs w:val="28"/>
        </w:rPr>
        <w:t>Administrative Measures for the Capital of Commercial Banks (Trial)</w:t>
      </w:r>
      <w:r w:rsidRPr="004B73FC">
        <w:rPr>
          <w:rFonts w:ascii="Times New Roman" w:hAnsi="Times New Roman" w:cs="Times New Roman"/>
          <w:kern w:val="0"/>
          <w:sz w:val="24"/>
          <w:szCs w:val="28"/>
        </w:rPr>
        <w:t xml:space="preserve"> and </w:t>
      </w:r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t xml:space="preserve">considering the regulations at the time, the Bank’s capital adequacy ratio was </w:t>
      </w:r>
      <w:r w:rsidR="006769FA" w:rsidRPr="004B73FC">
        <w:rPr>
          <w:rFonts w:ascii="Times New Roman" w:eastAsiaTheme="minorEastAsia" w:hAnsi="Times New Roman" w:cs="Times New Roman"/>
          <w:kern w:val="0"/>
          <w:sz w:val="24"/>
          <w:szCs w:val="28"/>
        </w:rPr>
        <w:t>14.97</w:t>
      </w:r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t xml:space="preserve">%, tier one capital adequacy ratio was </w:t>
      </w:r>
      <w:r w:rsidR="006769FA" w:rsidRPr="004B73FC">
        <w:rPr>
          <w:rFonts w:ascii="Times New Roman" w:eastAsiaTheme="minorEastAsia" w:hAnsi="Times New Roman" w:cs="Times New Roman"/>
          <w:kern w:val="0"/>
          <w:sz w:val="24"/>
          <w:szCs w:val="28"/>
        </w:rPr>
        <w:t>12.73</w:t>
      </w:r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t>%, and common equity tier one ratio was</w:t>
      </w:r>
      <w:r w:rsidR="003677AD">
        <w:rPr>
          <w:rFonts w:ascii="Times New Roman" w:eastAsiaTheme="minorEastAsia" w:hAnsi="Times New Roman" w:cs="Times New Roman" w:hint="eastAsia"/>
          <w:kern w:val="0"/>
          <w:sz w:val="24"/>
          <w:szCs w:val="28"/>
        </w:rPr>
        <w:t xml:space="preserve"> </w:t>
      </w:r>
      <w:r w:rsidR="006769FA" w:rsidRPr="004B73FC">
        <w:rPr>
          <w:rFonts w:ascii="Times New Roman" w:eastAsiaTheme="minorEastAsia" w:hAnsi="Times New Roman" w:cs="Times New Roman"/>
          <w:kern w:val="0"/>
          <w:sz w:val="24"/>
          <w:szCs w:val="28"/>
        </w:rPr>
        <w:t>12.73</w:t>
      </w:r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t xml:space="preserve">%. All ratios met </w:t>
      </w:r>
      <w:r w:rsidRPr="004B73FC">
        <w:rPr>
          <w:rFonts w:ascii="Times New Roman" w:hAnsi="Times New Roman" w:cs="Times New Roman"/>
          <w:kern w:val="0"/>
          <w:sz w:val="24"/>
          <w:szCs w:val="28"/>
        </w:rPr>
        <w:t xml:space="preserve">the </w:t>
      </w:r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t xml:space="preserve">regulatory requirements. In </w:t>
      </w:r>
      <w:r w:rsidRPr="004B73FC">
        <w:rPr>
          <w:rFonts w:ascii="Times New Roman" w:hAnsi="Times New Roman" w:cs="Times New Roman"/>
          <w:kern w:val="0"/>
          <w:sz w:val="24"/>
          <w:szCs w:val="28"/>
        </w:rPr>
        <w:t>line</w:t>
      </w:r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t xml:space="preserve"> with </w:t>
      </w:r>
      <w:r w:rsidRPr="004B73FC">
        <w:rPr>
          <w:rFonts w:ascii="Times New Roman" w:hAnsi="Times New Roman" w:cs="Times New Roman"/>
          <w:kern w:val="0"/>
          <w:sz w:val="24"/>
          <w:szCs w:val="28"/>
        </w:rPr>
        <w:t>the</w:t>
      </w:r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t xml:space="preserve"> </w:t>
      </w:r>
      <w:r w:rsidRPr="004B73FC">
        <w:rPr>
          <w:rFonts w:ascii="Times New Roman" w:hAnsi="Times New Roman" w:cs="Times New Roman"/>
          <w:i/>
          <w:kern w:val="0"/>
          <w:sz w:val="24"/>
          <w:szCs w:val="28"/>
        </w:rPr>
        <w:t xml:space="preserve">Administrative </w:t>
      </w:r>
      <w:r w:rsidRPr="004B73FC">
        <w:rPr>
          <w:rFonts w:ascii="Times New Roman" w:eastAsia="PMingLiU" w:hAnsi="Times New Roman" w:cs="Times New Roman"/>
          <w:i/>
          <w:kern w:val="0"/>
          <w:sz w:val="24"/>
          <w:szCs w:val="28"/>
        </w:rPr>
        <w:t>Measures for the Leverage Ratio of Commercial Banks (Revision)</w:t>
      </w:r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t xml:space="preserve"> issued by </w:t>
      </w:r>
      <w:r w:rsidRPr="004B73FC">
        <w:rPr>
          <w:rFonts w:ascii="Times New Roman" w:hAnsi="Times New Roman" w:cs="Times New Roman"/>
          <w:kern w:val="0"/>
          <w:sz w:val="24"/>
          <w:szCs w:val="28"/>
        </w:rPr>
        <w:t xml:space="preserve">the </w:t>
      </w:r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t xml:space="preserve">China Banking Regulatory Commission in January 2015, as at 30 September 2015, the </w:t>
      </w:r>
      <w:r w:rsidRPr="004B73FC">
        <w:rPr>
          <w:rFonts w:ascii="Times New Roman" w:hAnsi="Times New Roman" w:cs="Times New Roman"/>
          <w:kern w:val="0"/>
          <w:sz w:val="24"/>
          <w:szCs w:val="28"/>
        </w:rPr>
        <w:t xml:space="preserve">Bank’s </w:t>
      </w:r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t xml:space="preserve">leverage ratio was </w:t>
      </w:r>
      <w:r w:rsidR="006769FA" w:rsidRPr="004B73FC">
        <w:rPr>
          <w:rFonts w:ascii="Times New Roman" w:eastAsiaTheme="minorEastAsia" w:hAnsi="Times New Roman" w:cs="Times New Roman"/>
          <w:kern w:val="0"/>
          <w:sz w:val="24"/>
          <w:szCs w:val="28"/>
        </w:rPr>
        <w:t>6.95</w:t>
      </w:r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t>%</w:t>
      </w:r>
      <w:r w:rsidR="000E7898" w:rsidRPr="004B73FC">
        <w:rPr>
          <w:rFonts w:ascii="Times New Roman" w:eastAsiaTheme="minorEastAsia" w:hAnsi="Times New Roman" w:cs="Times New Roman"/>
          <w:kern w:val="0"/>
          <w:sz w:val="24"/>
          <w:szCs w:val="28"/>
        </w:rPr>
        <w:t xml:space="preserve">. </w:t>
      </w:r>
      <w:proofErr w:type="spellStart"/>
      <w:r w:rsidR="000E7898" w:rsidRPr="004B73FC">
        <w:rPr>
          <w:rFonts w:ascii="Times New Roman" w:eastAsiaTheme="minorEastAsia" w:hAnsi="Times New Roman" w:cs="Times New Roman"/>
          <w:kern w:val="0"/>
          <w:sz w:val="24"/>
          <w:szCs w:val="28"/>
        </w:rPr>
        <w:t>Captital</w:t>
      </w:r>
      <w:proofErr w:type="spellEnd"/>
      <w:r w:rsidR="000E7898" w:rsidRPr="004B73FC">
        <w:rPr>
          <w:rFonts w:ascii="Times New Roman" w:eastAsiaTheme="minorEastAsia" w:hAnsi="Times New Roman" w:cs="Times New Roman"/>
          <w:kern w:val="0"/>
          <w:sz w:val="24"/>
          <w:szCs w:val="28"/>
        </w:rPr>
        <w:t xml:space="preserve"> adequacy ratio and leverage ratio</w:t>
      </w:r>
      <w:r w:rsidR="004B73FC">
        <w:rPr>
          <w:rFonts w:ascii="Times New Roman" w:eastAsiaTheme="minorEastAsia" w:hAnsi="Times New Roman" w:cs="Times New Roman" w:hint="eastAsia"/>
          <w:kern w:val="0"/>
          <w:sz w:val="24"/>
          <w:szCs w:val="28"/>
        </w:rPr>
        <w:t xml:space="preserve"> </w:t>
      </w:r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t xml:space="preserve">met </w:t>
      </w:r>
      <w:r w:rsidRPr="004B73FC">
        <w:rPr>
          <w:rFonts w:ascii="Times New Roman" w:hAnsi="Times New Roman" w:cs="Times New Roman"/>
          <w:kern w:val="0"/>
          <w:sz w:val="24"/>
          <w:szCs w:val="28"/>
        </w:rPr>
        <w:t xml:space="preserve">the </w:t>
      </w:r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t>regulatory requirement.</w:t>
      </w:r>
    </w:p>
    <w:p w:rsidR="00264D9A" w:rsidRPr="004B73FC" w:rsidRDefault="00501756">
      <w:pPr>
        <w:spacing w:line="560" w:lineRule="exact"/>
        <w:ind w:firstLineChars="200" w:firstLine="480"/>
        <w:rPr>
          <w:rFonts w:ascii="Times New Roman" w:eastAsia="PMingLiU" w:hAnsi="Times New Roman" w:cs="Times New Roman"/>
          <w:kern w:val="0"/>
          <w:sz w:val="24"/>
          <w:szCs w:val="28"/>
        </w:rPr>
      </w:pPr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lastRenderedPageBreak/>
        <w:t xml:space="preserve">The year 2015 marks the 10th </w:t>
      </w:r>
      <w:r w:rsidRPr="004B73FC">
        <w:rPr>
          <w:rFonts w:ascii="Times New Roman" w:hAnsi="Times New Roman" w:cs="Times New Roman"/>
          <w:kern w:val="0"/>
          <w:sz w:val="24"/>
          <w:szCs w:val="28"/>
        </w:rPr>
        <w:t>a</w:t>
      </w:r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t>nniversary of the Bank’s public listing</w:t>
      </w:r>
      <w:r w:rsidRPr="004B73FC">
        <w:rPr>
          <w:rFonts w:ascii="Times New Roman" w:hAnsi="Times New Roman" w:cs="Times New Roman"/>
          <w:kern w:val="0"/>
          <w:sz w:val="24"/>
          <w:szCs w:val="28"/>
        </w:rPr>
        <w:t xml:space="preserve"> in Hong Kong</w:t>
      </w:r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t xml:space="preserve">. </w:t>
      </w:r>
      <w:r w:rsidRPr="004B73FC">
        <w:rPr>
          <w:rFonts w:ascii="Times New Roman" w:hAnsi="Times New Roman" w:cs="Times New Roman"/>
          <w:kern w:val="0"/>
          <w:sz w:val="24"/>
          <w:szCs w:val="28"/>
        </w:rPr>
        <w:t>T</w:t>
      </w:r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t xml:space="preserve">he Bank regards it as a new beginning and will follow a transformation strategy of </w:t>
      </w:r>
      <w:r w:rsidRPr="004B73FC">
        <w:rPr>
          <w:rFonts w:ascii="Times New Roman" w:eastAsia="PMingLiU" w:hAnsi="Times New Roman" w:cs="Times New Roman" w:hint="eastAsia"/>
          <w:kern w:val="0"/>
          <w:sz w:val="24"/>
          <w:szCs w:val="28"/>
        </w:rPr>
        <w:t>“</w:t>
      </w:r>
      <w:r w:rsidRPr="004B73FC">
        <w:rPr>
          <w:rFonts w:ascii="Times New Roman" w:hAnsi="Times New Roman" w:cs="Times New Roman"/>
          <w:kern w:val="0"/>
          <w:sz w:val="24"/>
          <w:szCs w:val="28"/>
        </w:rPr>
        <w:t>integration</w:t>
      </w:r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t>, multi-function, intensive</w:t>
      </w:r>
      <w:r w:rsidRPr="004B73FC">
        <w:rPr>
          <w:rFonts w:ascii="Times New Roman" w:hAnsi="Times New Roman" w:cs="Times New Roman"/>
          <w:kern w:val="0"/>
          <w:sz w:val="24"/>
          <w:szCs w:val="28"/>
        </w:rPr>
        <w:t>ness</w:t>
      </w:r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t xml:space="preserve">, </w:t>
      </w:r>
      <w:r w:rsidRPr="004B73FC">
        <w:rPr>
          <w:rFonts w:ascii="Times New Roman" w:hAnsi="Times New Roman" w:cs="Times New Roman"/>
          <w:kern w:val="0"/>
          <w:sz w:val="24"/>
          <w:szCs w:val="28"/>
        </w:rPr>
        <w:t>innovative banking</w:t>
      </w:r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t xml:space="preserve"> and smart banking”</w:t>
      </w:r>
      <w:r w:rsidR="000E7898" w:rsidRPr="004B73FC">
        <w:rPr>
          <w:rFonts w:ascii="Times New Roman" w:eastAsiaTheme="minorEastAsia" w:hAnsi="Times New Roman" w:cs="Times New Roman"/>
          <w:kern w:val="0"/>
          <w:sz w:val="24"/>
          <w:szCs w:val="28"/>
        </w:rPr>
        <w:t>. CCB will continue to fully leverage modern technology, especially the “internet +” model</w:t>
      </w:r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t xml:space="preserve"> to </w:t>
      </w:r>
      <w:r w:rsidRPr="004B73FC">
        <w:rPr>
          <w:rFonts w:ascii="Times New Roman" w:hAnsi="Times New Roman" w:cs="Times New Roman"/>
          <w:kern w:val="0"/>
          <w:sz w:val="24"/>
          <w:szCs w:val="28"/>
        </w:rPr>
        <w:t>push forward</w:t>
      </w:r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t xml:space="preserve"> the operation and management pattern of “substantial assets and big </w:t>
      </w:r>
      <w:r w:rsidRPr="004B73FC">
        <w:rPr>
          <w:rFonts w:ascii="Times New Roman" w:hAnsi="Times New Roman" w:cs="Times New Roman"/>
          <w:kern w:val="0"/>
          <w:sz w:val="24"/>
          <w:szCs w:val="28"/>
        </w:rPr>
        <w:t>liabilities</w:t>
      </w:r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t xml:space="preserve">”. </w:t>
      </w:r>
      <w:r w:rsidRPr="004B73FC">
        <w:rPr>
          <w:rFonts w:ascii="Times New Roman" w:hAnsi="Times New Roman" w:cs="Times New Roman"/>
          <w:kern w:val="0"/>
          <w:sz w:val="24"/>
          <w:szCs w:val="28"/>
        </w:rPr>
        <w:t>The Bank</w:t>
      </w:r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t xml:space="preserve"> also </w:t>
      </w:r>
      <w:r w:rsidRPr="004B73FC">
        <w:rPr>
          <w:rFonts w:ascii="Times New Roman" w:hAnsi="Times New Roman" w:cs="Times New Roman"/>
          <w:kern w:val="0"/>
          <w:sz w:val="24"/>
          <w:szCs w:val="28"/>
        </w:rPr>
        <w:t>intends to speed up</w:t>
      </w:r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t xml:space="preserve"> the transformation of traditional businesses and </w:t>
      </w:r>
      <w:r w:rsidRPr="004B73FC">
        <w:rPr>
          <w:rFonts w:ascii="Times New Roman" w:hAnsi="Times New Roman" w:cs="Times New Roman"/>
          <w:kern w:val="0"/>
          <w:sz w:val="24"/>
          <w:szCs w:val="28"/>
        </w:rPr>
        <w:t>enhance</w:t>
      </w:r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t xml:space="preserve"> </w:t>
      </w:r>
      <w:r w:rsidRPr="004B73FC">
        <w:rPr>
          <w:rFonts w:ascii="Times New Roman" w:hAnsi="Times New Roman" w:cs="Times New Roman"/>
          <w:kern w:val="0"/>
          <w:sz w:val="24"/>
          <w:szCs w:val="28"/>
        </w:rPr>
        <w:t>the</w:t>
      </w:r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t xml:space="preserve"> </w:t>
      </w:r>
      <w:r w:rsidRPr="004B73FC">
        <w:rPr>
          <w:rFonts w:ascii="Times New Roman" w:hAnsi="Times New Roman" w:cs="Times New Roman"/>
          <w:kern w:val="0"/>
          <w:sz w:val="24"/>
          <w:szCs w:val="28"/>
        </w:rPr>
        <w:t>extension</w:t>
      </w:r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t xml:space="preserve"> and innovation </w:t>
      </w:r>
      <w:r w:rsidRPr="004B73FC">
        <w:rPr>
          <w:rFonts w:ascii="Times New Roman" w:hAnsi="Times New Roman" w:cs="Times New Roman"/>
          <w:kern w:val="0"/>
          <w:sz w:val="24"/>
          <w:szCs w:val="28"/>
        </w:rPr>
        <w:t>of</w:t>
      </w:r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t xml:space="preserve"> emerging businesses. </w:t>
      </w:r>
      <w:r w:rsidRPr="004B73FC">
        <w:rPr>
          <w:rFonts w:ascii="Times New Roman" w:hAnsi="Times New Roman" w:cs="Times New Roman"/>
          <w:kern w:val="0"/>
          <w:sz w:val="24"/>
          <w:szCs w:val="28"/>
        </w:rPr>
        <w:t>Meanwhile</w:t>
      </w:r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t xml:space="preserve">, the Bank </w:t>
      </w:r>
      <w:r w:rsidRPr="004B73FC">
        <w:rPr>
          <w:rFonts w:ascii="Times New Roman" w:hAnsi="Times New Roman" w:cs="Times New Roman"/>
          <w:kern w:val="0"/>
          <w:sz w:val="24"/>
          <w:szCs w:val="28"/>
        </w:rPr>
        <w:t>plans to</w:t>
      </w:r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t xml:space="preserve"> strengthen its </w:t>
      </w:r>
      <w:r w:rsidRPr="004B73FC">
        <w:rPr>
          <w:rFonts w:ascii="Times New Roman" w:hAnsi="Times New Roman" w:cs="Times New Roman"/>
          <w:kern w:val="0"/>
          <w:sz w:val="24"/>
          <w:szCs w:val="28"/>
        </w:rPr>
        <w:t xml:space="preserve">international and </w:t>
      </w:r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t>overseas business</w:t>
      </w:r>
      <w:r w:rsidRPr="004B73FC">
        <w:rPr>
          <w:rFonts w:ascii="Times New Roman" w:hAnsi="Times New Roman" w:cs="Times New Roman"/>
          <w:kern w:val="0"/>
          <w:sz w:val="24"/>
          <w:szCs w:val="28"/>
        </w:rPr>
        <w:t>es</w:t>
      </w:r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t xml:space="preserve"> and </w:t>
      </w:r>
      <w:r w:rsidRPr="004B73FC">
        <w:rPr>
          <w:rFonts w:ascii="Times New Roman" w:hAnsi="Times New Roman" w:cs="Times New Roman"/>
          <w:kern w:val="0"/>
          <w:sz w:val="24"/>
          <w:szCs w:val="28"/>
        </w:rPr>
        <w:t>reinforce</w:t>
      </w:r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t xml:space="preserve"> the competitiveness of its subsidiaries</w:t>
      </w:r>
      <w:r w:rsidRPr="004B73FC">
        <w:rPr>
          <w:rFonts w:ascii="Times New Roman" w:hAnsi="Times New Roman" w:cs="Times New Roman"/>
          <w:kern w:val="0"/>
          <w:sz w:val="24"/>
          <w:szCs w:val="28"/>
        </w:rPr>
        <w:t>.</w:t>
      </w:r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t xml:space="preserve"> </w:t>
      </w:r>
      <w:r w:rsidRPr="004B73FC">
        <w:rPr>
          <w:rFonts w:ascii="Times New Roman" w:hAnsi="Times New Roman" w:cs="Times New Roman"/>
          <w:kern w:val="0"/>
          <w:sz w:val="24"/>
          <w:szCs w:val="28"/>
        </w:rPr>
        <w:t>Generally, a</w:t>
      </w:r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t xml:space="preserve"> </w:t>
      </w:r>
      <w:r w:rsidRPr="004B73FC">
        <w:rPr>
          <w:rFonts w:ascii="Times New Roman" w:hAnsi="Times New Roman" w:cs="Times New Roman"/>
          <w:kern w:val="0"/>
          <w:sz w:val="24"/>
          <w:szCs w:val="28"/>
        </w:rPr>
        <w:t xml:space="preserve">domestically and globally </w:t>
      </w:r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t xml:space="preserve">leading New Generation Core System and </w:t>
      </w:r>
      <w:r w:rsidRPr="004B73FC">
        <w:rPr>
          <w:rFonts w:ascii="Times New Roman" w:hAnsi="Times New Roman" w:cs="Times New Roman"/>
          <w:kern w:val="0"/>
          <w:sz w:val="24"/>
          <w:szCs w:val="28"/>
        </w:rPr>
        <w:t xml:space="preserve">an integrated </w:t>
      </w:r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t xml:space="preserve">risk control </w:t>
      </w:r>
      <w:r w:rsidRPr="004B73FC">
        <w:rPr>
          <w:rFonts w:ascii="Times New Roman" w:hAnsi="Times New Roman" w:cs="Times New Roman"/>
          <w:kern w:val="0"/>
          <w:sz w:val="24"/>
          <w:szCs w:val="28"/>
        </w:rPr>
        <w:t xml:space="preserve">and management </w:t>
      </w:r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t>system that cover</w:t>
      </w:r>
      <w:r w:rsidRPr="004B73FC">
        <w:rPr>
          <w:rFonts w:ascii="Times New Roman" w:hAnsi="Times New Roman" w:cs="Times New Roman"/>
          <w:kern w:val="0"/>
          <w:sz w:val="24"/>
          <w:szCs w:val="28"/>
        </w:rPr>
        <w:t>s</w:t>
      </w:r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t xml:space="preserve"> all the Group’s businesses and procedures </w:t>
      </w:r>
      <w:r w:rsidRPr="004B73FC">
        <w:rPr>
          <w:rFonts w:ascii="Times New Roman" w:hAnsi="Times New Roman" w:cs="Times New Roman"/>
          <w:kern w:val="0"/>
          <w:sz w:val="24"/>
          <w:szCs w:val="28"/>
        </w:rPr>
        <w:t>will lay</w:t>
      </w:r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t xml:space="preserve"> a </w:t>
      </w:r>
      <w:r w:rsidRPr="004B73FC">
        <w:rPr>
          <w:rFonts w:ascii="Times New Roman" w:hAnsi="Times New Roman" w:cs="Times New Roman"/>
          <w:kern w:val="0"/>
          <w:sz w:val="24"/>
          <w:szCs w:val="28"/>
        </w:rPr>
        <w:t>solid</w:t>
      </w:r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t xml:space="preserve"> foundation for the </w:t>
      </w:r>
      <w:r w:rsidRPr="004B73FC">
        <w:rPr>
          <w:rFonts w:ascii="Times New Roman" w:hAnsi="Times New Roman" w:cs="Times New Roman"/>
          <w:kern w:val="0"/>
          <w:sz w:val="24"/>
          <w:szCs w:val="28"/>
        </w:rPr>
        <w:t xml:space="preserve">transitional, sustained and steady development of the CCB </w:t>
      </w:r>
      <w:r w:rsidRPr="004B73FC">
        <w:rPr>
          <w:rFonts w:ascii="Times New Roman" w:eastAsia="PMingLiU" w:hAnsi="Times New Roman" w:cs="Times New Roman"/>
          <w:kern w:val="0"/>
          <w:sz w:val="24"/>
          <w:szCs w:val="28"/>
        </w:rPr>
        <w:t>Group.</w:t>
      </w:r>
      <w:bookmarkEnd w:id="1"/>
      <w:bookmarkEnd w:id="2"/>
    </w:p>
    <w:sectPr w:rsidR="00264D9A" w:rsidRPr="004B73FC">
      <w:headerReference w:type="default" r:id="rId8"/>
      <w:footerReference w:type="default" r:id="rId9"/>
      <w:pgSz w:w="11906" w:h="16838"/>
      <w:pgMar w:top="863" w:right="1800" w:bottom="1440" w:left="1800" w:header="794" w:footer="96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98F" w:rsidRDefault="004F598F">
      <w:r>
        <w:separator/>
      </w:r>
    </w:p>
  </w:endnote>
  <w:endnote w:type="continuationSeparator" w:id="0">
    <w:p w:rsidR="004F598F" w:rsidRDefault="004F5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彩虹粗仿宋">
    <w:altName w:val="Arial Unicode MS"/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彩虹小标宋">
    <w:altName w:val="Arial Unicode MS"/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D9A" w:rsidRDefault="00501756">
    <w:pPr>
      <w:pStyle w:val="a6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F322C9">
      <w:rPr>
        <w:noProof/>
      </w:rPr>
      <w:t>1</w:t>
    </w:r>
    <w:r>
      <w:fldChar w:fldCharType="end"/>
    </w:r>
  </w:p>
  <w:p w:rsidR="00264D9A" w:rsidRDefault="00264D9A">
    <w:pPr>
      <w:pStyle w:val="a6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98F" w:rsidRDefault="004F598F">
      <w:r>
        <w:separator/>
      </w:r>
    </w:p>
  </w:footnote>
  <w:footnote w:type="continuationSeparator" w:id="0">
    <w:p w:rsidR="004F598F" w:rsidRDefault="004F59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D9A" w:rsidRDefault="00AE0BD5" w:rsidP="0066715C">
    <w:pPr>
      <w:pStyle w:val="a7"/>
      <w:pBdr>
        <w:bottom w:val="none" w:sz="0" w:space="0" w:color="auto"/>
      </w:pBdr>
      <w:ind w:right="360"/>
      <w:jc w:val="both"/>
      <w:rPr>
        <w:rFonts w:cs="Times New Roman"/>
      </w:rPr>
    </w:pPr>
    <w:r w:rsidRPr="0066715C">
      <w:rPr>
        <w:rFonts w:cs="Times New Roman"/>
        <w:noProof/>
      </w:rPr>
      <w:drawing>
        <wp:inline distT="0" distB="0" distL="0" distR="0" wp14:anchorId="2429BF19" wp14:editId="7094E537">
          <wp:extent cx="2324100" cy="790575"/>
          <wp:effectExtent l="0" t="0" r="0" b="9525"/>
          <wp:docPr id="2" name="图片框 1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框 1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659" b="34827"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88A"/>
    <w:rsid w:val="00001198"/>
    <w:rsid w:val="000124FD"/>
    <w:rsid w:val="00030ACC"/>
    <w:rsid w:val="000564B8"/>
    <w:rsid w:val="00091ADC"/>
    <w:rsid w:val="00093178"/>
    <w:rsid w:val="000A7268"/>
    <w:rsid w:val="000C2604"/>
    <w:rsid w:val="000C702D"/>
    <w:rsid w:val="000D7446"/>
    <w:rsid w:val="000E15F4"/>
    <w:rsid w:val="000E6DDD"/>
    <w:rsid w:val="000E7898"/>
    <w:rsid w:val="000F72E0"/>
    <w:rsid w:val="00134177"/>
    <w:rsid w:val="00142875"/>
    <w:rsid w:val="0015259E"/>
    <w:rsid w:val="001928A8"/>
    <w:rsid w:val="001B538A"/>
    <w:rsid w:val="001E0C6E"/>
    <w:rsid w:val="0022470F"/>
    <w:rsid w:val="00231376"/>
    <w:rsid w:val="00241CF4"/>
    <w:rsid w:val="00264D9A"/>
    <w:rsid w:val="00282ADF"/>
    <w:rsid w:val="00284B50"/>
    <w:rsid w:val="002C1E1B"/>
    <w:rsid w:val="002C5BBC"/>
    <w:rsid w:val="002D65CA"/>
    <w:rsid w:val="00303AFB"/>
    <w:rsid w:val="00310603"/>
    <w:rsid w:val="00324898"/>
    <w:rsid w:val="00332215"/>
    <w:rsid w:val="003371DF"/>
    <w:rsid w:val="003515F5"/>
    <w:rsid w:val="003677AD"/>
    <w:rsid w:val="003740CF"/>
    <w:rsid w:val="003A1AD6"/>
    <w:rsid w:val="003A2CE2"/>
    <w:rsid w:val="003A300C"/>
    <w:rsid w:val="003B3136"/>
    <w:rsid w:val="003C471F"/>
    <w:rsid w:val="003F3D9B"/>
    <w:rsid w:val="003F6F75"/>
    <w:rsid w:val="00497360"/>
    <w:rsid w:val="00497996"/>
    <w:rsid w:val="004B1AE3"/>
    <w:rsid w:val="004B73FC"/>
    <w:rsid w:val="004E297F"/>
    <w:rsid w:val="004F5345"/>
    <w:rsid w:val="004F598F"/>
    <w:rsid w:val="00501756"/>
    <w:rsid w:val="00514586"/>
    <w:rsid w:val="00515872"/>
    <w:rsid w:val="005224D3"/>
    <w:rsid w:val="00535252"/>
    <w:rsid w:val="0054618C"/>
    <w:rsid w:val="005478B5"/>
    <w:rsid w:val="005609A1"/>
    <w:rsid w:val="005B3D12"/>
    <w:rsid w:val="005B7EF4"/>
    <w:rsid w:val="005C07F5"/>
    <w:rsid w:val="005C27D0"/>
    <w:rsid w:val="005E2037"/>
    <w:rsid w:val="00617162"/>
    <w:rsid w:val="006241D5"/>
    <w:rsid w:val="00642393"/>
    <w:rsid w:val="0064252B"/>
    <w:rsid w:val="00643C57"/>
    <w:rsid w:val="00655E10"/>
    <w:rsid w:val="0066715C"/>
    <w:rsid w:val="006769FA"/>
    <w:rsid w:val="006839F0"/>
    <w:rsid w:val="00693A13"/>
    <w:rsid w:val="00693D5E"/>
    <w:rsid w:val="006D61AC"/>
    <w:rsid w:val="006E71B9"/>
    <w:rsid w:val="006F339D"/>
    <w:rsid w:val="00705011"/>
    <w:rsid w:val="00712706"/>
    <w:rsid w:val="00791F32"/>
    <w:rsid w:val="007A0A18"/>
    <w:rsid w:val="007A171B"/>
    <w:rsid w:val="007D0E72"/>
    <w:rsid w:val="007E3580"/>
    <w:rsid w:val="0080574B"/>
    <w:rsid w:val="008A1349"/>
    <w:rsid w:val="008B60B8"/>
    <w:rsid w:val="008E07EA"/>
    <w:rsid w:val="008F3AC7"/>
    <w:rsid w:val="008F4BF0"/>
    <w:rsid w:val="00912B0F"/>
    <w:rsid w:val="009230A4"/>
    <w:rsid w:val="00927A27"/>
    <w:rsid w:val="00931FB1"/>
    <w:rsid w:val="00934449"/>
    <w:rsid w:val="00945C33"/>
    <w:rsid w:val="009612A5"/>
    <w:rsid w:val="00964DFE"/>
    <w:rsid w:val="0098730C"/>
    <w:rsid w:val="00992E4D"/>
    <w:rsid w:val="0099761C"/>
    <w:rsid w:val="009A22C0"/>
    <w:rsid w:val="009E2A1C"/>
    <w:rsid w:val="009F396B"/>
    <w:rsid w:val="009F3E72"/>
    <w:rsid w:val="00A25353"/>
    <w:rsid w:val="00A82249"/>
    <w:rsid w:val="00A9589F"/>
    <w:rsid w:val="00AB75C3"/>
    <w:rsid w:val="00AC1B76"/>
    <w:rsid w:val="00AE0BD5"/>
    <w:rsid w:val="00AE4196"/>
    <w:rsid w:val="00AF106A"/>
    <w:rsid w:val="00B1588A"/>
    <w:rsid w:val="00B21885"/>
    <w:rsid w:val="00B23BC9"/>
    <w:rsid w:val="00B43374"/>
    <w:rsid w:val="00B67638"/>
    <w:rsid w:val="00B755AD"/>
    <w:rsid w:val="00B770DA"/>
    <w:rsid w:val="00BA2D32"/>
    <w:rsid w:val="00BB10FE"/>
    <w:rsid w:val="00BB7D9F"/>
    <w:rsid w:val="00BC2DEF"/>
    <w:rsid w:val="00BC42BE"/>
    <w:rsid w:val="00C135CA"/>
    <w:rsid w:val="00C516AE"/>
    <w:rsid w:val="00C63421"/>
    <w:rsid w:val="00C840F8"/>
    <w:rsid w:val="00CC6024"/>
    <w:rsid w:val="00D22B47"/>
    <w:rsid w:val="00D41FDD"/>
    <w:rsid w:val="00D4506D"/>
    <w:rsid w:val="00D74F8B"/>
    <w:rsid w:val="00D75D9C"/>
    <w:rsid w:val="00D83150"/>
    <w:rsid w:val="00DA0777"/>
    <w:rsid w:val="00DA5D38"/>
    <w:rsid w:val="00DB27DD"/>
    <w:rsid w:val="00DC2B25"/>
    <w:rsid w:val="00DE2F53"/>
    <w:rsid w:val="00DF44ED"/>
    <w:rsid w:val="00E23757"/>
    <w:rsid w:val="00E756A6"/>
    <w:rsid w:val="00E870F0"/>
    <w:rsid w:val="00EA5060"/>
    <w:rsid w:val="00EA79CA"/>
    <w:rsid w:val="00EE09C8"/>
    <w:rsid w:val="00F138B9"/>
    <w:rsid w:val="00F2071B"/>
    <w:rsid w:val="00F322C9"/>
    <w:rsid w:val="00F430D9"/>
    <w:rsid w:val="00F51CC4"/>
    <w:rsid w:val="00F91699"/>
    <w:rsid w:val="00F921A2"/>
    <w:rsid w:val="00FB5B57"/>
    <w:rsid w:val="00FC76E0"/>
    <w:rsid w:val="00FE408E"/>
    <w:rsid w:val="09A13F68"/>
    <w:rsid w:val="0A631516"/>
    <w:rsid w:val="1B8617B4"/>
    <w:rsid w:val="1BA24967"/>
    <w:rsid w:val="1E966C18"/>
    <w:rsid w:val="22B10EF6"/>
    <w:rsid w:val="23D41D17"/>
    <w:rsid w:val="3CFA3924"/>
    <w:rsid w:val="4B15553F"/>
    <w:rsid w:val="4C93212D"/>
    <w:rsid w:val="5B5E0630"/>
    <w:rsid w:val="64E11B0D"/>
    <w:rsid w:val="66E634DC"/>
    <w:rsid w:val="6A79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annotation text" w:semiHidden="1" w:uiPriority="99"/>
    <w:lsdException w:name="header" w:uiPriority="99"/>
    <w:lsdException w:name="footer" w:uiPriority="99"/>
    <w:lsdException w:name="caption" w:locked="1" w:semiHidden="1" w:uiPriority="35" w:unhideWhenUsed="1" w:qFormat="1"/>
    <w:lsdException w:name="annotation reference" w:semiHidden="1" w:uiPriority="99"/>
    <w:lsdException w:name="Title" w:locked="1" w:uiPriority="10" w:qFormat="1"/>
    <w:lsdException w:name="Default Paragraph Font" w:semiHidden="1" w:uiPriority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semiHidden="1" w:uiPriority="99"/>
    <w:lsdException w:name="Table Grid" w:locked="1" w:uiPriority="59"/>
    <w:lsdException w:name="Table Theme" w:locked="1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rPr>
      <w:b/>
      <w:bCs/>
    </w:rPr>
  </w:style>
  <w:style w:type="paragraph" w:styleId="a4">
    <w:name w:val="annotation text"/>
    <w:basedOn w:val="a"/>
    <w:link w:val="Char0"/>
    <w:uiPriority w:val="99"/>
    <w:semiHidden/>
    <w:rPr>
      <w:sz w:val="20"/>
      <w:szCs w:val="20"/>
    </w:rPr>
  </w:style>
  <w:style w:type="paragraph" w:styleId="a5">
    <w:name w:val="Balloon Text"/>
    <w:basedOn w:val="a"/>
    <w:link w:val="Char1"/>
    <w:uiPriority w:val="99"/>
    <w:semiHidden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Char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uiPriority w:val="99"/>
    <w:semiHidden/>
    <w:rPr>
      <w:sz w:val="16"/>
      <w:szCs w:val="16"/>
    </w:rPr>
  </w:style>
  <w:style w:type="paragraph" w:customStyle="1" w:styleId="Revision1">
    <w:name w:val="Revision1"/>
    <w:hidden/>
    <w:uiPriority w:val="99"/>
    <w:semiHidden/>
  </w:style>
  <w:style w:type="paragraph" w:customStyle="1" w:styleId="ListParagraph1">
    <w:name w:val="List Paragraph1"/>
    <w:basedOn w:val="a"/>
    <w:uiPriority w:val="99"/>
    <w:pPr>
      <w:ind w:left="720"/>
    </w:pPr>
  </w:style>
  <w:style w:type="character" w:customStyle="1" w:styleId="Char0">
    <w:name w:val="批注文字 Char"/>
    <w:link w:val="a4"/>
    <w:uiPriority w:val="99"/>
    <w:semiHidden/>
    <w:locked/>
    <w:rPr>
      <w:sz w:val="20"/>
      <w:szCs w:val="20"/>
    </w:rPr>
  </w:style>
  <w:style w:type="character" w:customStyle="1" w:styleId="Char">
    <w:name w:val="批注主题 Char"/>
    <w:link w:val="a3"/>
    <w:uiPriority w:val="99"/>
    <w:semiHidden/>
    <w:locked/>
    <w:rPr>
      <w:b/>
      <w:bCs/>
      <w:sz w:val="20"/>
      <w:szCs w:val="20"/>
    </w:rPr>
  </w:style>
  <w:style w:type="character" w:customStyle="1" w:styleId="Char1">
    <w:name w:val="批注框文本 Char"/>
    <w:link w:val="a5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Char2">
    <w:name w:val="页脚 Char"/>
    <w:link w:val="a6"/>
    <w:uiPriority w:val="99"/>
    <w:locked/>
    <w:rPr>
      <w:sz w:val="18"/>
      <w:szCs w:val="18"/>
    </w:rPr>
  </w:style>
  <w:style w:type="character" w:customStyle="1" w:styleId="Char3">
    <w:name w:val="页眉 Char"/>
    <w:link w:val="a7"/>
    <w:uiPriority w:val="99"/>
    <w:locked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annotation text" w:semiHidden="1" w:uiPriority="99"/>
    <w:lsdException w:name="header" w:uiPriority="99"/>
    <w:lsdException w:name="footer" w:uiPriority="99"/>
    <w:lsdException w:name="caption" w:locked="1" w:semiHidden="1" w:uiPriority="35" w:unhideWhenUsed="1" w:qFormat="1"/>
    <w:lsdException w:name="annotation reference" w:semiHidden="1" w:uiPriority="99"/>
    <w:lsdException w:name="Title" w:locked="1" w:uiPriority="10" w:qFormat="1"/>
    <w:lsdException w:name="Default Paragraph Font" w:semiHidden="1" w:uiPriority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semiHidden="1" w:uiPriority="99"/>
    <w:lsdException w:name="Table Grid" w:locked="1" w:uiPriority="59"/>
    <w:lsdException w:name="Table Theme" w:locked="1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rPr>
      <w:b/>
      <w:bCs/>
    </w:rPr>
  </w:style>
  <w:style w:type="paragraph" w:styleId="a4">
    <w:name w:val="annotation text"/>
    <w:basedOn w:val="a"/>
    <w:link w:val="Char0"/>
    <w:uiPriority w:val="99"/>
    <w:semiHidden/>
    <w:rPr>
      <w:sz w:val="20"/>
      <w:szCs w:val="20"/>
    </w:rPr>
  </w:style>
  <w:style w:type="paragraph" w:styleId="a5">
    <w:name w:val="Balloon Text"/>
    <w:basedOn w:val="a"/>
    <w:link w:val="Char1"/>
    <w:uiPriority w:val="99"/>
    <w:semiHidden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Char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uiPriority w:val="99"/>
    <w:semiHidden/>
    <w:rPr>
      <w:sz w:val="16"/>
      <w:szCs w:val="16"/>
    </w:rPr>
  </w:style>
  <w:style w:type="paragraph" w:customStyle="1" w:styleId="Revision1">
    <w:name w:val="Revision1"/>
    <w:hidden/>
    <w:uiPriority w:val="99"/>
    <w:semiHidden/>
  </w:style>
  <w:style w:type="paragraph" w:customStyle="1" w:styleId="ListParagraph1">
    <w:name w:val="List Paragraph1"/>
    <w:basedOn w:val="a"/>
    <w:uiPriority w:val="99"/>
    <w:pPr>
      <w:ind w:left="720"/>
    </w:pPr>
  </w:style>
  <w:style w:type="character" w:customStyle="1" w:styleId="Char0">
    <w:name w:val="批注文字 Char"/>
    <w:link w:val="a4"/>
    <w:uiPriority w:val="99"/>
    <w:semiHidden/>
    <w:locked/>
    <w:rPr>
      <w:sz w:val="20"/>
      <w:szCs w:val="20"/>
    </w:rPr>
  </w:style>
  <w:style w:type="character" w:customStyle="1" w:styleId="Char">
    <w:name w:val="批注主题 Char"/>
    <w:link w:val="a3"/>
    <w:uiPriority w:val="99"/>
    <w:semiHidden/>
    <w:locked/>
    <w:rPr>
      <w:b/>
      <w:bCs/>
      <w:sz w:val="20"/>
      <w:szCs w:val="20"/>
    </w:rPr>
  </w:style>
  <w:style w:type="character" w:customStyle="1" w:styleId="Char1">
    <w:name w:val="批注框文本 Char"/>
    <w:link w:val="a5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Char2">
    <w:name w:val="页脚 Char"/>
    <w:link w:val="a6"/>
    <w:uiPriority w:val="99"/>
    <w:locked/>
    <w:rPr>
      <w:sz w:val="18"/>
      <w:szCs w:val="18"/>
    </w:rPr>
  </w:style>
  <w:style w:type="character" w:customStyle="1" w:styleId="Char3">
    <w:name w:val="页眉 Char"/>
    <w:link w:val="a7"/>
    <w:uiPriority w:val="99"/>
    <w:lock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647</Words>
  <Characters>3691</Characters>
  <Application>Microsoft Office Word</Application>
  <DocSecurity>0</DocSecurity>
  <Lines>30</Lines>
  <Paragraphs>8</Paragraphs>
  <ScaleCrop>false</ScaleCrop>
  <Company>Microsoft</Company>
  <LinksUpToDate>false</LinksUpToDate>
  <CharactersWithSpaces>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[新闻稿]</dc:title>
  <dc:creator>李承阳</dc:creator>
  <cp:lastModifiedBy>李承阳</cp:lastModifiedBy>
  <cp:revision>8</cp:revision>
  <cp:lastPrinted>2015-10-29T10:30:00Z</cp:lastPrinted>
  <dcterms:created xsi:type="dcterms:W3CDTF">2015-10-29T09:01:00Z</dcterms:created>
  <dcterms:modified xsi:type="dcterms:W3CDTF">2015-10-29T12:11:00Z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