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E4C2B" w14:textId="77777777" w:rsidR="00E70362" w:rsidRPr="00317D88" w:rsidRDefault="00E70362" w:rsidP="00E70362">
      <w:pPr>
        <w:adjustRightInd w:val="0"/>
        <w:snapToGrid w:val="0"/>
        <w:jc w:val="left"/>
        <w:rPr>
          <w:rFonts w:ascii="Arial" w:eastAsia="彩虹小标宋" w:hAnsi="Arial" w:cs="Arial"/>
          <w:b/>
          <w:bCs/>
          <w:sz w:val="24"/>
          <w:szCs w:val="24"/>
          <w:u w:val="single"/>
          <w:lang w:val="en-GB"/>
        </w:rPr>
      </w:pPr>
      <w:r w:rsidRPr="00317D88">
        <w:rPr>
          <w:rFonts w:ascii="Arial" w:eastAsia="彩虹小标宋" w:hAnsi="Arial" w:cs="Arial"/>
          <w:b/>
          <w:bCs/>
          <w:sz w:val="24"/>
          <w:szCs w:val="24"/>
          <w:u w:val="single"/>
          <w:lang w:val="en-GB"/>
        </w:rPr>
        <w:t>Press release</w:t>
      </w:r>
    </w:p>
    <w:p w14:paraId="4E9CF373" w14:textId="77777777" w:rsidR="00E70362" w:rsidRPr="00317D88" w:rsidRDefault="00E70362" w:rsidP="00E70362">
      <w:pPr>
        <w:adjustRightInd w:val="0"/>
        <w:snapToGrid w:val="0"/>
        <w:jc w:val="left"/>
        <w:rPr>
          <w:rFonts w:ascii="Arial" w:eastAsia="彩虹小标宋" w:hAnsi="Arial" w:cs="Arial"/>
          <w:sz w:val="24"/>
          <w:szCs w:val="24"/>
          <w:lang w:val="en-GB"/>
        </w:rPr>
      </w:pPr>
    </w:p>
    <w:p w14:paraId="763456D8" w14:textId="77777777" w:rsidR="00E70362" w:rsidRPr="00317D88" w:rsidRDefault="00E70362" w:rsidP="00E70362">
      <w:pPr>
        <w:adjustRightInd w:val="0"/>
        <w:snapToGrid w:val="0"/>
        <w:jc w:val="left"/>
        <w:rPr>
          <w:rFonts w:ascii="Arial" w:eastAsia="彩虹小标宋" w:hAnsi="Arial" w:cs="Arial"/>
          <w:sz w:val="24"/>
          <w:szCs w:val="24"/>
          <w:lang w:val="en-GB"/>
        </w:rPr>
      </w:pPr>
      <w:r w:rsidRPr="00317D88">
        <w:rPr>
          <w:rFonts w:ascii="Arial" w:eastAsia="彩虹小标宋" w:hAnsi="Arial" w:cs="Arial"/>
          <w:sz w:val="24"/>
          <w:szCs w:val="24"/>
          <w:lang w:val="en-GB"/>
        </w:rPr>
        <w:t xml:space="preserve">For immediate distribution </w:t>
      </w:r>
    </w:p>
    <w:p w14:paraId="50F49507" w14:textId="77777777" w:rsidR="00E70362" w:rsidRPr="00317D88" w:rsidRDefault="00E70362" w:rsidP="00E70362">
      <w:pPr>
        <w:adjustRightInd w:val="0"/>
        <w:snapToGrid w:val="0"/>
        <w:jc w:val="left"/>
        <w:rPr>
          <w:rFonts w:ascii="Arial" w:eastAsia="彩虹小标宋" w:hAnsi="Arial" w:cs="Arial"/>
          <w:sz w:val="24"/>
          <w:szCs w:val="24"/>
          <w:lang w:val="en-GB"/>
        </w:rPr>
      </w:pPr>
    </w:p>
    <w:p w14:paraId="5206116C" w14:textId="77777777" w:rsidR="00E70362" w:rsidRPr="00317D88" w:rsidRDefault="00E70362" w:rsidP="00E70362">
      <w:pPr>
        <w:widowControl/>
        <w:jc w:val="center"/>
        <w:rPr>
          <w:rFonts w:ascii="Arial" w:eastAsiaTheme="minorEastAsia" w:hAnsi="Arial" w:cs="Arial"/>
          <w:b/>
          <w:bCs/>
          <w:kern w:val="0"/>
          <w:sz w:val="24"/>
          <w:szCs w:val="24"/>
          <w:lang w:val="en-GB"/>
        </w:rPr>
      </w:pPr>
    </w:p>
    <w:p w14:paraId="4DD73AF1" w14:textId="77777777" w:rsidR="00E70362" w:rsidRPr="00317D88" w:rsidRDefault="00E70362" w:rsidP="00E70362">
      <w:pPr>
        <w:widowControl/>
        <w:ind w:firstLineChars="200" w:firstLine="480"/>
        <w:jc w:val="center"/>
        <w:rPr>
          <w:rFonts w:ascii="Arial" w:eastAsia="微软雅黑" w:hAnsi="Arial" w:cs="Arial"/>
          <w:b/>
          <w:sz w:val="24"/>
          <w:szCs w:val="24"/>
          <w:lang w:val="en-GB"/>
        </w:rPr>
      </w:pPr>
      <w:r w:rsidRPr="00317D88">
        <w:rPr>
          <w:rFonts w:ascii="Arial" w:eastAsia="微软雅黑" w:hAnsi="Arial" w:cs="Arial"/>
          <w:b/>
          <w:sz w:val="24"/>
          <w:szCs w:val="24"/>
          <w:lang w:val="en-GB"/>
        </w:rPr>
        <w:t>China Construction Bank Announces 20</w:t>
      </w:r>
      <w:r w:rsidR="006C6E72">
        <w:rPr>
          <w:rFonts w:ascii="Arial" w:eastAsia="微软雅黑" w:hAnsi="Arial" w:cs="Arial"/>
          <w:b/>
          <w:sz w:val="24"/>
          <w:szCs w:val="24"/>
          <w:lang w:val="en-GB"/>
        </w:rPr>
        <w:t>17 Q3</w:t>
      </w:r>
      <w:r w:rsidRPr="00317D88">
        <w:rPr>
          <w:rFonts w:ascii="Arial" w:eastAsia="微软雅黑" w:hAnsi="Arial" w:cs="Arial"/>
          <w:b/>
          <w:sz w:val="24"/>
          <w:szCs w:val="24"/>
          <w:lang w:val="en-GB"/>
        </w:rPr>
        <w:t xml:space="preserve"> Results</w:t>
      </w:r>
    </w:p>
    <w:p w14:paraId="54FD202B" w14:textId="77777777" w:rsidR="00E70362" w:rsidRDefault="00E70362" w:rsidP="001B2003">
      <w:pPr>
        <w:widowControl/>
        <w:ind w:firstLineChars="200" w:firstLine="482"/>
        <w:jc w:val="center"/>
        <w:rPr>
          <w:rFonts w:ascii="Arial" w:eastAsia="彩虹粗仿宋" w:hAnsi="Arial" w:cs="Arial"/>
          <w:b/>
          <w:kern w:val="0"/>
          <w:sz w:val="24"/>
          <w:szCs w:val="24"/>
          <w:lang w:val="en-GB"/>
        </w:rPr>
      </w:pPr>
      <w:r w:rsidRPr="00317D88">
        <w:rPr>
          <w:rFonts w:ascii="Arial" w:eastAsia="彩虹粗仿宋" w:hAnsi="Arial" w:cs="Arial"/>
          <w:b/>
          <w:kern w:val="0"/>
          <w:sz w:val="24"/>
          <w:szCs w:val="24"/>
          <w:lang w:val="en-GB"/>
        </w:rPr>
        <w:t xml:space="preserve">Core Indicators </w:t>
      </w:r>
      <w:r w:rsidR="0051171A">
        <w:rPr>
          <w:rFonts w:ascii="Arial" w:eastAsia="彩虹粗仿宋" w:hAnsi="Arial" w:cs="Arial"/>
          <w:b/>
          <w:kern w:val="0"/>
          <w:sz w:val="24"/>
          <w:szCs w:val="24"/>
          <w:lang w:val="en-GB"/>
        </w:rPr>
        <w:t xml:space="preserve">of Total Assets, Asset Quality and </w:t>
      </w:r>
      <w:r w:rsidR="0051171A" w:rsidRPr="00317D88">
        <w:rPr>
          <w:rFonts w:ascii="Arial" w:eastAsia="彩虹粗仿宋" w:hAnsi="Arial" w:cs="Arial"/>
          <w:b/>
          <w:kern w:val="0"/>
          <w:sz w:val="24"/>
          <w:szCs w:val="24"/>
          <w:lang w:val="en-GB"/>
        </w:rPr>
        <w:t xml:space="preserve">Profitability </w:t>
      </w:r>
      <w:r w:rsidRPr="00317D88">
        <w:rPr>
          <w:rFonts w:ascii="Arial" w:eastAsia="彩虹粗仿宋" w:hAnsi="Arial" w:cs="Arial"/>
          <w:b/>
          <w:kern w:val="0"/>
          <w:sz w:val="24"/>
          <w:szCs w:val="24"/>
          <w:lang w:val="en-GB"/>
        </w:rPr>
        <w:t xml:space="preserve">Achieving Steady Performance </w:t>
      </w:r>
    </w:p>
    <w:p w14:paraId="0DC7EBB0" w14:textId="77777777" w:rsidR="00CD02E9" w:rsidRPr="00317D88" w:rsidRDefault="00CD02E9" w:rsidP="001B2003">
      <w:pPr>
        <w:widowControl/>
        <w:ind w:firstLineChars="200" w:firstLine="482"/>
        <w:jc w:val="center"/>
        <w:rPr>
          <w:rFonts w:ascii="Arial" w:eastAsia="彩虹粗仿宋" w:hAnsi="Arial" w:cs="Arial"/>
          <w:b/>
          <w:kern w:val="0"/>
          <w:sz w:val="24"/>
          <w:szCs w:val="24"/>
          <w:lang w:val="en-GB"/>
        </w:rPr>
      </w:pPr>
    </w:p>
    <w:p w14:paraId="067FC833" w14:textId="629FCC75" w:rsidR="00E70362" w:rsidRPr="00317D88" w:rsidRDefault="0051171A" w:rsidP="00E70362">
      <w:pPr>
        <w:pStyle w:val="a5"/>
        <w:spacing w:before="0" w:after="0"/>
        <w:rPr>
          <w:rFonts w:ascii="Arial" w:hAnsi="Arial" w:cs="Arial"/>
          <w:sz w:val="24"/>
          <w:szCs w:val="24"/>
          <w:lang w:val="en-GB" w:eastAsia="zh-CN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en-GB" w:eastAsia="zh-CN"/>
        </w:rPr>
        <w:t>Beijing/Hong Kong, 26</w:t>
      </w:r>
      <w:r w:rsidR="00E70362" w:rsidRPr="00317D88">
        <w:rPr>
          <w:rFonts w:ascii="Arial" w:hAnsi="Arial" w:cs="Arial"/>
          <w:b/>
          <w:bCs/>
          <w:sz w:val="24"/>
          <w:szCs w:val="24"/>
          <w:lang w:val="en-GB" w:eastAsia="zh-C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 w:eastAsia="zh-CN"/>
        </w:rPr>
        <w:t>O</w:t>
      </w:r>
      <w:r>
        <w:rPr>
          <w:rFonts w:ascii="Arial" w:hAnsi="Arial" w:cs="Arial" w:hint="eastAsia"/>
          <w:b/>
          <w:bCs/>
          <w:sz w:val="24"/>
          <w:szCs w:val="24"/>
          <w:lang w:val="en-GB" w:eastAsia="zh-CN"/>
        </w:rPr>
        <w:t>ctober</w:t>
      </w:r>
      <w:r w:rsidR="00E70362" w:rsidRPr="00317D88">
        <w:rPr>
          <w:rFonts w:ascii="Arial" w:hAnsi="Arial" w:cs="Arial"/>
          <w:b/>
          <w:bCs/>
          <w:sz w:val="24"/>
          <w:szCs w:val="24"/>
          <w:lang w:val="en-GB" w:eastAsia="zh-CN"/>
        </w:rPr>
        <w:t xml:space="preserve"> 2017</w:t>
      </w:r>
      <w:r w:rsidR="00E70362" w:rsidRPr="00317D88">
        <w:rPr>
          <w:rFonts w:ascii="Arial" w:hAnsi="Arial" w:cs="Arial"/>
          <w:sz w:val="24"/>
          <w:szCs w:val="24"/>
          <w:lang w:val="en-GB" w:eastAsia="zh-CN"/>
        </w:rPr>
        <w:t xml:space="preserve"> – China Construction Bank Corporation (“the Bank” or “CCB”) (A-share stock code: 601939; H-share stock code: 939) released its results for the </w:t>
      </w:r>
      <w:r>
        <w:rPr>
          <w:rFonts w:ascii="Arial" w:hAnsi="Arial" w:cs="Arial"/>
          <w:sz w:val="24"/>
          <w:szCs w:val="24"/>
          <w:lang w:val="en-GB" w:eastAsia="zh-CN"/>
        </w:rPr>
        <w:t xml:space="preserve">third </w:t>
      </w:r>
      <w:r w:rsidR="00E70362" w:rsidRPr="00317D88">
        <w:rPr>
          <w:rFonts w:ascii="Arial" w:hAnsi="Arial" w:cs="Arial"/>
          <w:sz w:val="24"/>
          <w:szCs w:val="24"/>
          <w:lang w:val="en-GB" w:eastAsia="zh-CN"/>
        </w:rPr>
        <w:t xml:space="preserve">quarter of 2017 (the data herein were prepared under the International Financial Reporting Standards on a consolidated basis and expressed in RMB unless otherwise stated). </w:t>
      </w:r>
      <w:r>
        <w:rPr>
          <w:rFonts w:ascii="Arial" w:hAnsi="Arial" w:cs="Arial"/>
          <w:sz w:val="24"/>
          <w:szCs w:val="24"/>
          <w:lang w:val="en-GB" w:eastAsia="zh-CN"/>
        </w:rPr>
        <w:t xml:space="preserve">According to the </w:t>
      </w:r>
      <w:r w:rsidR="005A1926">
        <w:rPr>
          <w:rFonts w:ascii="Arial" w:hAnsi="Arial" w:cs="Arial"/>
          <w:sz w:val="24"/>
          <w:szCs w:val="24"/>
          <w:lang w:val="en-GB" w:eastAsia="zh-CN"/>
        </w:rPr>
        <w:t xml:space="preserve">Bank, its </w:t>
      </w:r>
      <w:r>
        <w:rPr>
          <w:rFonts w:ascii="Arial" w:hAnsi="Arial" w:cs="Arial"/>
          <w:sz w:val="24"/>
          <w:szCs w:val="24"/>
          <w:lang w:val="en-GB" w:eastAsia="zh-CN"/>
        </w:rPr>
        <w:t>core indicator</w:t>
      </w:r>
      <w:r w:rsidR="005A1926">
        <w:rPr>
          <w:rFonts w:ascii="Arial" w:hAnsi="Arial" w:cs="Arial"/>
          <w:sz w:val="24"/>
          <w:szCs w:val="24"/>
          <w:lang w:val="en-GB" w:eastAsia="zh-CN"/>
        </w:rPr>
        <w:t xml:space="preserve">s of </w:t>
      </w:r>
      <w:r w:rsidR="00EF6432">
        <w:rPr>
          <w:rFonts w:ascii="Arial" w:hAnsi="Arial" w:cs="Arial"/>
          <w:sz w:val="24"/>
          <w:szCs w:val="24"/>
          <w:lang w:val="en-GB" w:eastAsia="zh-CN"/>
        </w:rPr>
        <w:t>total assets</w:t>
      </w:r>
      <w:r w:rsidR="00DA02EA">
        <w:rPr>
          <w:rFonts w:ascii="Arial" w:hAnsi="Arial" w:cs="Arial"/>
          <w:sz w:val="24"/>
          <w:szCs w:val="24"/>
          <w:lang w:val="en-GB" w:eastAsia="zh-CN"/>
        </w:rPr>
        <w:t xml:space="preserve">, asset quality and </w:t>
      </w:r>
      <w:r>
        <w:rPr>
          <w:rFonts w:ascii="Arial" w:hAnsi="Arial" w:cs="Arial"/>
          <w:sz w:val="24"/>
          <w:szCs w:val="24"/>
          <w:lang w:eastAsia="zh-CN"/>
        </w:rPr>
        <w:t>c</w:t>
      </w:r>
      <w:r w:rsidRPr="00C125BA">
        <w:rPr>
          <w:rFonts w:ascii="Arial" w:hAnsi="Arial" w:cs="Arial"/>
          <w:sz w:val="24"/>
          <w:szCs w:val="24"/>
          <w:lang w:eastAsia="zh-CN"/>
        </w:rPr>
        <w:t>apita</w:t>
      </w:r>
      <w:r>
        <w:rPr>
          <w:rFonts w:ascii="Arial" w:hAnsi="Arial" w:cs="Arial"/>
          <w:sz w:val="24"/>
          <w:szCs w:val="24"/>
          <w:lang w:eastAsia="zh-CN"/>
        </w:rPr>
        <w:t xml:space="preserve">l adequacy ratio achieved </w:t>
      </w:r>
      <w:r w:rsidR="005A1926">
        <w:rPr>
          <w:rFonts w:ascii="Arial" w:hAnsi="Arial" w:cs="Arial"/>
          <w:sz w:val="24"/>
          <w:szCs w:val="24"/>
          <w:lang w:eastAsia="zh-CN"/>
        </w:rPr>
        <w:t xml:space="preserve">a </w:t>
      </w:r>
      <w:r>
        <w:rPr>
          <w:rFonts w:ascii="Arial" w:hAnsi="Arial" w:cs="Arial"/>
          <w:sz w:val="24"/>
          <w:szCs w:val="24"/>
          <w:lang w:eastAsia="zh-CN"/>
        </w:rPr>
        <w:t>steady performance.</w:t>
      </w:r>
    </w:p>
    <w:p w14:paraId="6F2FF583" w14:textId="77777777" w:rsidR="00E70362" w:rsidRPr="00063AB3" w:rsidRDefault="00E70362" w:rsidP="00E70362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1DEA8A25" w14:textId="620B51A9" w:rsidR="0051171A" w:rsidRPr="00317D88" w:rsidRDefault="0051171A" w:rsidP="0051171A">
      <w:pPr>
        <w:pStyle w:val="a5"/>
        <w:spacing w:before="0" w:after="0"/>
        <w:rPr>
          <w:rFonts w:ascii="Arial" w:hAnsi="Arial" w:cs="Arial"/>
          <w:sz w:val="24"/>
          <w:szCs w:val="24"/>
          <w:lang w:val="en-GB" w:eastAsia="zh-CN"/>
        </w:rPr>
      </w:pPr>
      <w:r w:rsidRPr="00317D88">
        <w:rPr>
          <w:rFonts w:ascii="Arial" w:hAnsi="Arial" w:cs="Arial"/>
          <w:sz w:val="24"/>
          <w:szCs w:val="24"/>
          <w:lang w:val="en-GB" w:eastAsia="zh-CN"/>
        </w:rPr>
        <w:t>As of</w:t>
      </w:r>
      <w:r>
        <w:rPr>
          <w:rFonts w:ascii="Arial" w:hAnsi="Arial" w:cs="Arial"/>
          <w:sz w:val="24"/>
          <w:szCs w:val="24"/>
          <w:lang w:val="en-GB" w:eastAsia="zh-CN"/>
        </w:rPr>
        <w:t xml:space="preserve"> 30 September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 2017, </w:t>
      </w:r>
      <w:r w:rsidR="00DA02EA" w:rsidRPr="000F5F7D">
        <w:rPr>
          <w:rFonts w:ascii="Arial" w:hAnsi="Arial" w:cs="Arial"/>
          <w:sz w:val="24"/>
          <w:szCs w:val="24"/>
          <w:lang w:eastAsia="zh-CN"/>
        </w:rPr>
        <w:t xml:space="preserve">the Bank’s total assets reached </w:t>
      </w:r>
      <w:r w:rsidR="00C75D1A">
        <w:rPr>
          <w:rFonts w:ascii="Arial" w:hAnsi="Arial" w:cs="Arial"/>
          <w:sz w:val="24"/>
          <w:szCs w:val="24"/>
          <w:lang w:eastAsia="zh-CN"/>
        </w:rPr>
        <w:t>RMB</w:t>
      </w:r>
      <w:r w:rsidR="004330AF">
        <w:rPr>
          <w:rFonts w:ascii="Arial" w:hAnsi="Arial" w:cs="Arial"/>
          <w:sz w:val="24"/>
          <w:szCs w:val="24"/>
          <w:lang w:eastAsia="zh-CN"/>
        </w:rPr>
        <w:t>22,0</w:t>
      </w:r>
      <w:r w:rsidR="004330AF" w:rsidRPr="004330AF">
        <w:rPr>
          <w:rFonts w:ascii="Arial" w:hAnsi="Arial" w:cs="Arial"/>
          <w:sz w:val="24"/>
          <w:szCs w:val="24"/>
          <w:lang w:eastAsia="zh-CN"/>
        </w:rPr>
        <w:t>53</w:t>
      </w:r>
      <w:r w:rsidR="004330AF">
        <w:rPr>
          <w:rFonts w:ascii="Arial" w:hAnsi="Arial" w:cs="Arial"/>
          <w:sz w:val="24"/>
          <w:szCs w:val="24"/>
          <w:lang w:eastAsia="zh-CN"/>
        </w:rPr>
        <w:t>.9</w:t>
      </w:r>
      <w:r w:rsidR="004330AF" w:rsidRPr="004330AF">
        <w:rPr>
          <w:rFonts w:ascii="Arial" w:hAnsi="Arial" w:cs="Arial"/>
          <w:sz w:val="24"/>
          <w:szCs w:val="24"/>
          <w:lang w:eastAsia="zh-CN"/>
        </w:rPr>
        <w:t>4</w:t>
      </w:r>
      <w:r w:rsidR="00BB356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A02EA" w:rsidRPr="000F5F7D">
        <w:rPr>
          <w:rFonts w:ascii="Arial" w:hAnsi="Arial" w:cs="Arial"/>
          <w:sz w:val="24"/>
          <w:szCs w:val="24"/>
          <w:lang w:eastAsia="zh-CN"/>
        </w:rPr>
        <w:t xml:space="preserve">billion, </w:t>
      </w:r>
      <w:r w:rsidR="00DA02EA">
        <w:rPr>
          <w:rFonts w:ascii="Arial" w:hAnsi="Arial" w:cs="Arial"/>
          <w:sz w:val="24"/>
          <w:szCs w:val="24"/>
          <w:lang w:eastAsia="zh-CN"/>
        </w:rPr>
        <w:t xml:space="preserve">an </w:t>
      </w:r>
      <w:r w:rsidR="00DA02EA">
        <w:rPr>
          <w:rFonts w:ascii="Arial" w:hAnsi="Arial" w:cs="Arial"/>
          <w:sz w:val="24"/>
          <w:szCs w:val="24"/>
          <w:lang w:val="en-GB" w:eastAsia="zh-CN"/>
        </w:rPr>
        <w:t>increase of</w:t>
      </w:r>
      <w:r w:rsidR="00DA02EA" w:rsidRPr="00317D88">
        <w:rPr>
          <w:rFonts w:ascii="Arial" w:hAnsi="Arial" w:cs="Arial"/>
          <w:sz w:val="24"/>
          <w:szCs w:val="24"/>
          <w:lang w:val="en-GB" w:eastAsia="zh-CN"/>
        </w:rPr>
        <w:t xml:space="preserve"> RMB</w:t>
      </w:r>
      <w:r w:rsidR="004330AF">
        <w:rPr>
          <w:rFonts w:ascii="Arial" w:hAnsi="Arial" w:cs="Arial"/>
          <w:sz w:val="24"/>
          <w:szCs w:val="24"/>
          <w:lang w:val="en-GB" w:eastAsia="zh-CN"/>
        </w:rPr>
        <w:t>1,090.2</w:t>
      </w:r>
      <w:r w:rsidR="00C75D1A">
        <w:rPr>
          <w:rFonts w:ascii="Arial" w:hAnsi="Arial" w:cs="Arial"/>
          <w:sz w:val="24"/>
          <w:szCs w:val="24"/>
          <w:lang w:val="en-GB" w:eastAsia="zh-CN"/>
        </w:rPr>
        <w:t>4</w:t>
      </w:r>
      <w:r w:rsidR="00BB356F">
        <w:rPr>
          <w:rFonts w:ascii="Arial" w:hAnsi="Arial" w:cs="Arial"/>
          <w:sz w:val="24"/>
          <w:szCs w:val="24"/>
          <w:lang w:val="en-GB" w:eastAsia="zh-CN"/>
        </w:rPr>
        <w:t xml:space="preserve"> </w:t>
      </w:r>
      <w:r w:rsidR="00DA02EA" w:rsidRPr="00317D88">
        <w:rPr>
          <w:rFonts w:ascii="Arial" w:hAnsi="Arial" w:cs="Arial"/>
          <w:sz w:val="24"/>
          <w:szCs w:val="24"/>
          <w:lang w:val="en-GB" w:eastAsia="zh-CN"/>
        </w:rPr>
        <w:t>billion</w:t>
      </w:r>
      <w:r w:rsidR="00DA02EA">
        <w:rPr>
          <w:rFonts w:ascii="Arial" w:hAnsi="Arial" w:cs="Arial"/>
          <w:sz w:val="24"/>
          <w:szCs w:val="24"/>
          <w:lang w:val="en-GB" w:eastAsia="zh-CN"/>
        </w:rPr>
        <w:t xml:space="preserve">, up by </w:t>
      </w:r>
      <w:r w:rsidR="004330AF" w:rsidRPr="004330AF">
        <w:rPr>
          <w:rFonts w:ascii="Arial" w:hAnsi="Arial" w:cs="Arial"/>
          <w:sz w:val="24"/>
          <w:szCs w:val="24"/>
          <w:lang w:val="en-GB" w:eastAsia="zh-CN"/>
        </w:rPr>
        <w:t>5.20</w:t>
      </w:r>
      <w:r w:rsidR="00DA02EA" w:rsidRPr="00317D88">
        <w:rPr>
          <w:rFonts w:ascii="Arial" w:hAnsi="Arial" w:cs="Arial"/>
          <w:sz w:val="24"/>
          <w:szCs w:val="24"/>
          <w:lang w:val="en-GB" w:eastAsia="zh-CN"/>
        </w:rPr>
        <w:t>%</w:t>
      </w:r>
      <w:r w:rsidR="00DA02EA">
        <w:rPr>
          <w:rFonts w:ascii="Arial" w:hAnsi="Arial" w:cs="Arial"/>
          <w:sz w:val="24"/>
          <w:szCs w:val="24"/>
          <w:lang w:eastAsia="zh-CN"/>
        </w:rPr>
        <w:t xml:space="preserve"> since the end of 2016. </w:t>
      </w:r>
      <w:r w:rsidR="00DA02EA">
        <w:rPr>
          <w:rFonts w:ascii="Arial" w:hAnsi="Arial" w:cs="Arial"/>
          <w:sz w:val="24"/>
          <w:szCs w:val="24"/>
          <w:lang w:val="en-GB" w:eastAsia="zh-CN"/>
        </w:rPr>
        <w:t>T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otal loans and advances to customers </w:t>
      </w:r>
      <w:r w:rsidR="00BD77AE">
        <w:rPr>
          <w:rFonts w:ascii="Arial" w:hAnsi="Arial" w:cs="Arial" w:hint="eastAsia"/>
          <w:sz w:val="24"/>
          <w:szCs w:val="24"/>
          <w:lang w:val="en-GB" w:eastAsia="zh-CN"/>
        </w:rPr>
        <w:t>amounted to RMB</w:t>
      </w:r>
      <w:r w:rsidR="004330AF">
        <w:rPr>
          <w:rFonts w:ascii="Arial" w:hAnsi="Arial" w:cs="Arial"/>
          <w:sz w:val="24"/>
          <w:szCs w:val="24"/>
          <w:lang w:val="en-GB" w:eastAsia="zh-CN"/>
        </w:rPr>
        <w:t>12,757.1</w:t>
      </w:r>
      <w:r w:rsidR="009B5F3E">
        <w:rPr>
          <w:rFonts w:ascii="Arial" w:hAnsi="Arial" w:cs="Arial"/>
          <w:sz w:val="24"/>
          <w:szCs w:val="24"/>
          <w:lang w:val="en-GB" w:eastAsia="zh-CN"/>
        </w:rPr>
        <w:t>2</w:t>
      </w:r>
      <w:r w:rsidR="00BD77AE">
        <w:rPr>
          <w:rFonts w:ascii="Arial" w:hAnsi="Arial" w:cs="Arial" w:hint="eastAsia"/>
          <w:sz w:val="24"/>
          <w:szCs w:val="24"/>
          <w:lang w:val="en-GB" w:eastAsia="zh-CN"/>
        </w:rPr>
        <w:t xml:space="preserve"> billion, </w:t>
      </w:r>
      <w:r w:rsidR="00BD77AE" w:rsidRPr="00317D88">
        <w:rPr>
          <w:rFonts w:ascii="Arial" w:hAnsi="Arial" w:cs="Arial"/>
          <w:sz w:val="24"/>
          <w:szCs w:val="24"/>
          <w:lang w:val="en-GB" w:eastAsia="zh-CN"/>
        </w:rPr>
        <w:t>increas</w:t>
      </w:r>
      <w:r w:rsidR="00BD77AE">
        <w:rPr>
          <w:rFonts w:ascii="Arial" w:hAnsi="Arial" w:cs="Arial" w:hint="eastAsia"/>
          <w:sz w:val="24"/>
          <w:szCs w:val="24"/>
          <w:lang w:val="en-GB" w:eastAsia="zh-CN"/>
        </w:rPr>
        <w:t>ing</w:t>
      </w:r>
      <w:r w:rsidR="00BD77AE" w:rsidRPr="00317D88">
        <w:rPr>
          <w:rFonts w:ascii="Arial" w:hAnsi="Arial" w:cs="Arial"/>
          <w:sz w:val="24"/>
          <w:szCs w:val="24"/>
          <w:lang w:val="en-GB" w:eastAsia="zh-CN"/>
        </w:rPr>
        <w:t xml:space="preserve"> </w:t>
      </w:r>
      <w:r w:rsidRPr="00317D88">
        <w:rPr>
          <w:rFonts w:ascii="Arial" w:hAnsi="Arial" w:cs="Arial"/>
          <w:sz w:val="24"/>
          <w:szCs w:val="24"/>
          <w:lang w:val="en-GB" w:eastAsia="zh-CN"/>
        </w:rPr>
        <w:t>by RMB</w:t>
      </w:r>
      <w:r w:rsidR="004330AF">
        <w:rPr>
          <w:rFonts w:ascii="Arial" w:hAnsi="Arial" w:cs="Arial"/>
          <w:sz w:val="24"/>
          <w:szCs w:val="24"/>
          <w:lang w:val="en-GB" w:eastAsia="zh-CN"/>
        </w:rPr>
        <w:t>1,000.0</w:t>
      </w:r>
      <w:r w:rsidR="00C75D1A">
        <w:rPr>
          <w:rFonts w:ascii="Arial" w:hAnsi="Arial" w:cs="Arial"/>
          <w:sz w:val="24"/>
          <w:szCs w:val="24"/>
          <w:lang w:val="en-GB" w:eastAsia="zh-CN"/>
        </w:rPr>
        <w:t>9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 billion, or </w:t>
      </w:r>
      <w:r w:rsidR="004330AF" w:rsidRPr="004330AF">
        <w:rPr>
          <w:rFonts w:ascii="Arial" w:hAnsi="Arial" w:cs="Arial"/>
          <w:sz w:val="24"/>
          <w:szCs w:val="24"/>
          <w:lang w:val="en-GB" w:eastAsia="zh-CN"/>
        </w:rPr>
        <w:t>8.51</w:t>
      </w:r>
      <w:r w:rsidRPr="00317D88">
        <w:rPr>
          <w:rFonts w:ascii="Arial" w:hAnsi="Arial" w:cs="Arial"/>
          <w:sz w:val="24"/>
          <w:szCs w:val="24"/>
          <w:lang w:val="en-GB" w:eastAsia="zh-CN"/>
        </w:rPr>
        <w:t>%, from the end of 2016. Deposits from customer</w:t>
      </w:r>
      <w:r w:rsidR="005A1926">
        <w:rPr>
          <w:rFonts w:ascii="Arial" w:hAnsi="Arial" w:cs="Arial"/>
          <w:sz w:val="24"/>
          <w:szCs w:val="24"/>
          <w:lang w:val="en-GB" w:eastAsia="zh-CN"/>
        </w:rPr>
        <w:t>s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 amounted to RMB</w:t>
      </w:r>
      <w:r w:rsidR="004330AF">
        <w:rPr>
          <w:rFonts w:ascii="Arial" w:hAnsi="Arial" w:cs="Arial"/>
          <w:sz w:val="24"/>
          <w:szCs w:val="24"/>
          <w:lang w:val="en-GB" w:eastAsia="zh-CN"/>
        </w:rPr>
        <w:t>16,502.</w:t>
      </w:r>
      <w:r w:rsidR="00C75D1A">
        <w:rPr>
          <w:rFonts w:ascii="Arial" w:hAnsi="Arial" w:cs="Arial"/>
          <w:sz w:val="24"/>
          <w:szCs w:val="24"/>
          <w:lang w:val="en-GB" w:eastAsia="zh-CN"/>
        </w:rPr>
        <w:t>60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 billion, increasing by RMB</w:t>
      </w:r>
      <w:r w:rsidR="004330AF">
        <w:rPr>
          <w:rFonts w:ascii="Arial" w:hAnsi="Arial" w:cs="Arial"/>
          <w:sz w:val="24"/>
          <w:szCs w:val="24"/>
          <w:lang w:val="en-GB" w:eastAsia="zh-CN"/>
        </w:rPr>
        <w:t>1,099.6</w:t>
      </w:r>
      <w:r w:rsidR="004330AF" w:rsidRPr="004330AF">
        <w:rPr>
          <w:rFonts w:ascii="Arial" w:hAnsi="Arial" w:cs="Arial"/>
          <w:sz w:val="24"/>
          <w:szCs w:val="24"/>
          <w:lang w:val="en-GB" w:eastAsia="zh-CN"/>
        </w:rPr>
        <w:t>8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 billion, up by </w:t>
      </w:r>
      <w:r w:rsidR="004330AF" w:rsidRPr="004330AF">
        <w:rPr>
          <w:rFonts w:ascii="Arial" w:hAnsi="Arial" w:cs="Arial"/>
          <w:sz w:val="24"/>
          <w:szCs w:val="24"/>
          <w:lang w:val="en-GB" w:eastAsia="zh-CN"/>
        </w:rPr>
        <w:t>7.14</w:t>
      </w:r>
      <w:r w:rsidRPr="00317D88">
        <w:rPr>
          <w:rFonts w:ascii="Arial" w:hAnsi="Arial" w:cs="Arial"/>
          <w:sz w:val="24"/>
          <w:szCs w:val="24"/>
          <w:lang w:val="en-GB" w:eastAsia="zh-CN"/>
        </w:rPr>
        <w:t xml:space="preserve">% compared with the end of 2016. </w:t>
      </w:r>
    </w:p>
    <w:p w14:paraId="49C2621E" w14:textId="77777777" w:rsidR="0051171A" w:rsidRPr="0051171A" w:rsidRDefault="0051171A" w:rsidP="00E70362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413AE6F9" w14:textId="6BFE3871" w:rsidR="00E70362" w:rsidRPr="00317D88" w:rsidRDefault="00E70362" w:rsidP="00FC759B">
      <w:pPr>
        <w:rPr>
          <w:rFonts w:ascii="Arial" w:hAnsi="Arial" w:cs="Arial"/>
          <w:sz w:val="24"/>
          <w:szCs w:val="24"/>
          <w:lang w:val="en-GB"/>
        </w:rPr>
      </w:pPr>
      <w:r w:rsidRPr="00317D88">
        <w:rPr>
          <w:rFonts w:ascii="Arial" w:hAnsi="Arial" w:cs="Arial"/>
          <w:sz w:val="24"/>
          <w:szCs w:val="24"/>
          <w:lang w:val="en-GB"/>
        </w:rPr>
        <w:t xml:space="preserve">The Bank has </w:t>
      </w:r>
      <w:r w:rsidR="00D5526C">
        <w:rPr>
          <w:rFonts w:ascii="Arial" w:hAnsi="Arial" w:cs="Arial"/>
          <w:sz w:val="24"/>
          <w:szCs w:val="24"/>
          <w:lang w:val="en-GB"/>
        </w:rPr>
        <w:t xml:space="preserve">been implementing </w:t>
      </w:r>
      <w:r w:rsidR="00C536F7">
        <w:rPr>
          <w:rFonts w:ascii="Arial" w:hAnsi="Arial" w:cs="Arial" w:hint="eastAsia"/>
          <w:sz w:val="24"/>
          <w:szCs w:val="24"/>
          <w:lang w:val="en-GB"/>
        </w:rPr>
        <w:t xml:space="preserve">its overall </w:t>
      </w:r>
      <w:r w:rsidR="00FC759B">
        <w:rPr>
          <w:rFonts w:ascii="Arial" w:hAnsi="Arial" w:cs="Arial"/>
          <w:sz w:val="24"/>
          <w:szCs w:val="24"/>
          <w:lang w:val="en-GB"/>
        </w:rPr>
        <w:t>risk management</w:t>
      </w:r>
      <w:r w:rsidR="00A01221">
        <w:rPr>
          <w:rFonts w:ascii="Arial" w:hAnsi="Arial" w:cs="Arial"/>
          <w:sz w:val="24"/>
          <w:szCs w:val="24"/>
          <w:lang w:val="en-GB"/>
        </w:rPr>
        <w:t xml:space="preserve"> </w:t>
      </w:r>
      <w:r w:rsidR="00C536F7">
        <w:rPr>
          <w:rFonts w:ascii="Arial" w:hAnsi="Arial" w:cs="Arial"/>
          <w:sz w:val="24"/>
          <w:szCs w:val="24"/>
          <w:lang w:val="en-GB"/>
        </w:rPr>
        <w:t>rigorous</w:t>
      </w:r>
      <w:r w:rsidR="00C536F7">
        <w:rPr>
          <w:rFonts w:ascii="Arial" w:hAnsi="Arial" w:cs="Arial" w:hint="eastAsia"/>
          <w:sz w:val="24"/>
          <w:szCs w:val="24"/>
          <w:lang w:val="en-GB"/>
        </w:rPr>
        <w:t>ly</w:t>
      </w:r>
      <w:r w:rsidR="00C536F7">
        <w:rPr>
          <w:rFonts w:ascii="Arial" w:hAnsi="Arial" w:cs="Arial"/>
          <w:sz w:val="24"/>
          <w:szCs w:val="24"/>
          <w:lang w:val="en-GB"/>
        </w:rPr>
        <w:t xml:space="preserve"> and effective</w:t>
      </w:r>
      <w:r w:rsidR="00C536F7">
        <w:rPr>
          <w:rFonts w:ascii="Arial" w:hAnsi="Arial" w:cs="Arial" w:hint="eastAsia"/>
          <w:sz w:val="24"/>
          <w:szCs w:val="24"/>
          <w:lang w:val="en-GB"/>
        </w:rPr>
        <w:t>ly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, </w:t>
      </w:r>
      <w:r w:rsidR="00FC759B">
        <w:rPr>
          <w:rFonts w:ascii="Arial" w:hAnsi="Arial" w:cs="Arial"/>
          <w:sz w:val="24"/>
          <w:szCs w:val="24"/>
          <w:lang w:val="en-GB"/>
        </w:rPr>
        <w:t xml:space="preserve">strengthening </w:t>
      </w:r>
      <w:r w:rsidR="00613218">
        <w:rPr>
          <w:rFonts w:ascii="Arial" w:hAnsi="Arial" w:cs="Arial"/>
          <w:sz w:val="24"/>
          <w:szCs w:val="24"/>
          <w:lang w:val="en-GB"/>
        </w:rPr>
        <w:t xml:space="preserve">forward-looking </w:t>
      </w:r>
      <w:r w:rsidR="007B7AFF">
        <w:rPr>
          <w:rFonts w:ascii="Arial" w:hAnsi="Arial" w:cs="Arial"/>
          <w:sz w:val="24"/>
          <w:szCs w:val="24"/>
          <w:lang w:val="en-GB"/>
        </w:rPr>
        <w:t xml:space="preserve">risk </w:t>
      </w:r>
      <w:r w:rsidR="00613218">
        <w:rPr>
          <w:rFonts w:ascii="Arial" w:hAnsi="Arial" w:cs="Arial"/>
          <w:sz w:val="24"/>
          <w:szCs w:val="24"/>
          <w:lang w:val="en-GB"/>
        </w:rPr>
        <w:t>management</w:t>
      </w:r>
      <w:r w:rsidR="00A01221">
        <w:rPr>
          <w:rFonts w:ascii="Arial" w:hAnsi="Arial" w:cs="Arial"/>
          <w:sz w:val="24"/>
          <w:szCs w:val="24"/>
          <w:lang w:val="en-GB"/>
        </w:rPr>
        <w:t>,</w:t>
      </w:r>
      <w:r w:rsidR="00613218">
        <w:rPr>
          <w:rFonts w:ascii="Arial" w:hAnsi="Arial" w:cs="Arial"/>
          <w:sz w:val="24"/>
          <w:szCs w:val="24"/>
          <w:lang w:val="en-GB"/>
        </w:rPr>
        <w:t xml:space="preserve"> </w:t>
      </w:r>
      <w:r w:rsidR="00FC759B">
        <w:rPr>
          <w:rFonts w:ascii="Arial" w:hAnsi="Arial" w:cs="Arial"/>
          <w:sz w:val="24"/>
          <w:szCs w:val="24"/>
          <w:lang w:val="en-GB"/>
        </w:rPr>
        <w:t xml:space="preserve">and improving the efficiency of </w:t>
      </w:r>
      <w:r w:rsidR="007B7AFF">
        <w:rPr>
          <w:rFonts w:ascii="Arial" w:hAnsi="Arial" w:cs="Arial"/>
          <w:sz w:val="24"/>
          <w:szCs w:val="24"/>
          <w:lang w:val="en-GB"/>
        </w:rPr>
        <w:t xml:space="preserve">the </w:t>
      </w:r>
      <w:r w:rsidR="00FC759B" w:rsidRPr="00317D88">
        <w:rPr>
          <w:rFonts w:ascii="Arial" w:hAnsi="Arial" w:cs="Arial"/>
          <w:sz w:val="24"/>
          <w:szCs w:val="24"/>
          <w:lang w:val="en-GB"/>
        </w:rPr>
        <w:t>disposal of</w:t>
      </w:r>
      <w:r w:rsidR="00FC759B">
        <w:rPr>
          <w:rFonts w:ascii="Arial" w:hAnsi="Arial" w:cs="Arial"/>
          <w:sz w:val="24"/>
          <w:szCs w:val="24"/>
          <w:lang w:val="en-GB"/>
        </w:rPr>
        <w:t xml:space="preserve"> </w:t>
      </w:r>
      <w:r w:rsidR="00FC759B" w:rsidRPr="00317D88">
        <w:rPr>
          <w:rFonts w:ascii="Arial" w:hAnsi="Arial" w:cs="Arial"/>
          <w:sz w:val="24"/>
          <w:szCs w:val="24"/>
          <w:lang w:val="en-GB"/>
        </w:rPr>
        <w:t xml:space="preserve">non-performing loans (“NPLs”) </w:t>
      </w:r>
      <w:r w:rsidR="00FC759B">
        <w:rPr>
          <w:rFonts w:ascii="Arial" w:hAnsi="Arial" w:cs="Arial"/>
          <w:sz w:val="24"/>
          <w:szCs w:val="24"/>
          <w:lang w:val="en-GB"/>
        </w:rPr>
        <w:t>to keep the asset quality stable on the whole</w:t>
      </w:r>
      <w:r w:rsidR="00FA05B9">
        <w:rPr>
          <w:rFonts w:ascii="Arial" w:hAnsi="Arial" w:cs="Arial"/>
          <w:sz w:val="24"/>
          <w:szCs w:val="24"/>
          <w:lang w:val="en-GB"/>
        </w:rPr>
        <w:t xml:space="preserve">. 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As of the end of </w:t>
      </w:r>
      <w:r w:rsidR="00FC759B">
        <w:rPr>
          <w:rFonts w:ascii="Arial" w:hAnsi="Arial" w:cs="Arial"/>
          <w:sz w:val="24"/>
          <w:szCs w:val="24"/>
          <w:lang w:val="en-GB"/>
        </w:rPr>
        <w:t>September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 2017, </w:t>
      </w:r>
      <w:r w:rsidR="007B7AFF">
        <w:rPr>
          <w:rFonts w:ascii="Arial" w:hAnsi="Arial" w:cs="Arial"/>
          <w:sz w:val="24"/>
          <w:szCs w:val="24"/>
          <w:lang w:val="en-GB"/>
        </w:rPr>
        <w:t xml:space="preserve">in line with </w:t>
      </w:r>
      <w:r w:rsidR="00FC759B" w:rsidRPr="00FC759B">
        <w:rPr>
          <w:rFonts w:ascii="Arial" w:hAnsi="Arial" w:cs="Arial"/>
          <w:sz w:val="24"/>
          <w:szCs w:val="24"/>
          <w:lang w:val="en-GB"/>
        </w:rPr>
        <w:t>the five-category loan</w:t>
      </w:r>
      <w:r w:rsidR="00FC759B">
        <w:rPr>
          <w:rFonts w:ascii="Arial" w:hAnsi="Arial" w:cs="Arial"/>
          <w:sz w:val="24"/>
          <w:szCs w:val="24"/>
          <w:lang w:val="en-GB"/>
        </w:rPr>
        <w:t xml:space="preserve"> </w:t>
      </w:r>
      <w:r w:rsidR="00FC759B" w:rsidRPr="00FC759B">
        <w:rPr>
          <w:rFonts w:ascii="Arial" w:hAnsi="Arial" w:cs="Arial"/>
          <w:sz w:val="24"/>
          <w:szCs w:val="24"/>
          <w:lang w:val="en-GB"/>
        </w:rPr>
        <w:t>classification</w:t>
      </w:r>
      <w:r w:rsidR="00FC759B">
        <w:rPr>
          <w:rFonts w:ascii="Arial" w:hAnsi="Arial" w:cs="Arial"/>
          <w:sz w:val="24"/>
          <w:szCs w:val="24"/>
          <w:lang w:val="en-GB"/>
        </w:rPr>
        <w:t xml:space="preserve">, </w:t>
      </w:r>
      <w:r w:rsidRPr="00317D88">
        <w:rPr>
          <w:rFonts w:ascii="Arial" w:hAnsi="Arial" w:cs="Arial"/>
          <w:sz w:val="24"/>
          <w:szCs w:val="24"/>
          <w:lang w:val="en-GB"/>
        </w:rPr>
        <w:t>the Bank</w:t>
      </w:r>
      <w:r w:rsidR="007A715F">
        <w:rPr>
          <w:rFonts w:ascii="Arial" w:hAnsi="Arial" w:cs="Arial"/>
          <w:sz w:val="24"/>
          <w:szCs w:val="24"/>
          <w:lang w:val="en-GB"/>
        </w:rPr>
        <w:t>’s NPLs were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 RMB</w:t>
      </w:r>
      <w:r w:rsidR="004330AF">
        <w:rPr>
          <w:rFonts w:ascii="Arial" w:hAnsi="Arial" w:cs="Arial"/>
          <w:sz w:val="24"/>
          <w:szCs w:val="24"/>
          <w:lang w:val="en-GB"/>
        </w:rPr>
        <w:t>190</w:t>
      </w:r>
      <w:r w:rsidR="00762BC3">
        <w:rPr>
          <w:rFonts w:ascii="Arial" w:hAnsi="Arial" w:cs="Arial"/>
          <w:sz w:val="24"/>
          <w:szCs w:val="24"/>
          <w:lang w:val="en-GB"/>
        </w:rPr>
        <w:t>,</w:t>
      </w:r>
      <w:r w:rsidR="004330AF">
        <w:rPr>
          <w:rFonts w:ascii="Arial" w:hAnsi="Arial" w:cs="Arial"/>
          <w:sz w:val="24"/>
          <w:szCs w:val="24"/>
          <w:lang w:val="en-GB"/>
        </w:rPr>
        <w:t>9</w:t>
      </w:r>
      <w:r w:rsidR="004330AF" w:rsidRPr="004330AF">
        <w:rPr>
          <w:rFonts w:ascii="Arial" w:hAnsi="Arial" w:cs="Arial"/>
          <w:sz w:val="24"/>
          <w:szCs w:val="24"/>
          <w:lang w:val="en-GB"/>
        </w:rPr>
        <w:t>49</w:t>
      </w:r>
      <w:r w:rsidR="00CD02E9">
        <w:rPr>
          <w:rFonts w:ascii="Arial" w:hAnsi="Arial" w:cs="Arial"/>
          <w:sz w:val="24"/>
          <w:szCs w:val="24"/>
          <w:lang w:val="en-GB"/>
        </w:rPr>
        <w:t xml:space="preserve"> m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illion; the NPL ratio was </w:t>
      </w:r>
      <w:r w:rsidR="004330AF" w:rsidRPr="004330AF">
        <w:rPr>
          <w:rFonts w:ascii="Arial" w:hAnsi="Arial" w:cs="Arial"/>
          <w:sz w:val="24"/>
          <w:szCs w:val="24"/>
          <w:lang w:val="en-GB"/>
        </w:rPr>
        <w:t>1.50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%, </w:t>
      </w:r>
      <w:r w:rsidR="007A715F" w:rsidRPr="007A715F">
        <w:rPr>
          <w:rFonts w:ascii="Arial" w:hAnsi="Arial" w:cs="Arial"/>
          <w:sz w:val="24"/>
          <w:szCs w:val="24"/>
          <w:lang w:val="en-GB"/>
        </w:rPr>
        <w:t xml:space="preserve">representing a decrease of </w:t>
      </w:r>
      <w:r w:rsidR="004330AF" w:rsidRPr="004330AF">
        <w:rPr>
          <w:rFonts w:ascii="Arial" w:hAnsi="Arial" w:cs="Arial"/>
          <w:sz w:val="24"/>
          <w:szCs w:val="24"/>
          <w:lang w:val="en-GB"/>
        </w:rPr>
        <w:t>0.02</w:t>
      </w:r>
      <w:r w:rsidR="007A715F" w:rsidRPr="007A715F">
        <w:rPr>
          <w:rFonts w:ascii="Arial" w:hAnsi="Arial" w:cs="Arial"/>
          <w:sz w:val="24"/>
          <w:szCs w:val="24"/>
          <w:lang w:val="en-GB"/>
        </w:rPr>
        <w:t xml:space="preserve"> percentage points from </w:t>
      </w:r>
      <w:r w:rsidR="00CC2FF9">
        <w:rPr>
          <w:rFonts w:ascii="Arial" w:hAnsi="Arial" w:cs="Arial" w:hint="eastAsia"/>
          <w:sz w:val="24"/>
          <w:szCs w:val="24"/>
          <w:lang w:val="en-GB"/>
        </w:rPr>
        <w:t xml:space="preserve">the end of </w:t>
      </w:r>
      <w:r w:rsidR="007A715F" w:rsidRPr="007A715F">
        <w:rPr>
          <w:rFonts w:ascii="Arial" w:hAnsi="Arial" w:cs="Arial"/>
          <w:sz w:val="24"/>
          <w:szCs w:val="24"/>
          <w:lang w:val="en-GB"/>
        </w:rPr>
        <w:t>2016.</w:t>
      </w:r>
      <w:r w:rsidR="00B57428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831C3B">
        <w:rPr>
          <w:rFonts w:ascii="Arial" w:hAnsi="Arial" w:cs="Arial"/>
          <w:sz w:val="24"/>
          <w:szCs w:val="24"/>
          <w:lang w:val="en-GB"/>
        </w:rPr>
        <w:t>T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he </w:t>
      </w:r>
      <w:r w:rsidR="007A715F" w:rsidRPr="00651BC2">
        <w:rPr>
          <w:rFonts w:ascii="Arial" w:eastAsia="微软雅黑" w:hAnsi="Arial" w:cs="Arial" w:hint="eastAsia"/>
          <w:color w:val="000000" w:themeColor="text1"/>
          <w:sz w:val="24"/>
          <w:szCs w:val="24"/>
        </w:rPr>
        <w:t>provision</w:t>
      </w:r>
      <w:r w:rsidR="007A715F">
        <w:rPr>
          <w:rFonts w:ascii="Arial" w:hAnsi="Arial" w:cs="Arial"/>
          <w:sz w:val="24"/>
          <w:szCs w:val="24"/>
          <w:lang w:val="en-GB"/>
        </w:rPr>
        <w:t xml:space="preserve"> coverage 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ratio stood at </w:t>
      </w:r>
      <w:r w:rsidR="004330AF" w:rsidRPr="004330AF">
        <w:rPr>
          <w:rFonts w:ascii="Arial" w:hAnsi="Arial" w:cs="Arial"/>
          <w:sz w:val="24"/>
          <w:szCs w:val="24"/>
          <w:lang w:val="en-GB"/>
        </w:rPr>
        <w:t>162.91</w:t>
      </w:r>
      <w:r w:rsidRPr="00317D88">
        <w:rPr>
          <w:rFonts w:ascii="Arial" w:hAnsi="Arial" w:cs="Arial"/>
          <w:sz w:val="24"/>
          <w:szCs w:val="24"/>
          <w:lang w:val="en-GB"/>
        </w:rPr>
        <w:t xml:space="preserve">%, up by </w:t>
      </w:r>
      <w:r w:rsidR="004330AF" w:rsidRPr="004330AF">
        <w:rPr>
          <w:rFonts w:ascii="Arial" w:hAnsi="Arial" w:cs="Arial"/>
          <w:sz w:val="24"/>
          <w:szCs w:val="24"/>
          <w:lang w:val="en-GB"/>
        </w:rPr>
        <w:t>12.55</w:t>
      </w:r>
      <w:r w:rsidR="00831C3B">
        <w:rPr>
          <w:rFonts w:ascii="Arial" w:hAnsi="Arial" w:cs="Arial"/>
          <w:sz w:val="24"/>
          <w:szCs w:val="24"/>
          <w:lang w:val="en-GB"/>
        </w:rPr>
        <w:t xml:space="preserve"> </w:t>
      </w:r>
      <w:r w:rsidRPr="00317D88">
        <w:rPr>
          <w:rFonts w:ascii="Arial" w:hAnsi="Arial" w:cs="Arial"/>
          <w:sz w:val="24"/>
          <w:szCs w:val="24"/>
          <w:lang w:val="en-GB"/>
        </w:rPr>
        <w:t>percentage points from the end of 2016.</w:t>
      </w:r>
    </w:p>
    <w:p w14:paraId="0BBBC2A4" w14:textId="77777777" w:rsidR="002D2784" w:rsidRDefault="002D2784">
      <w:pPr>
        <w:rPr>
          <w:lang w:val="en-GB"/>
        </w:rPr>
      </w:pPr>
    </w:p>
    <w:p w14:paraId="3D26BB6F" w14:textId="6748A03A" w:rsidR="00B0574A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  <w:r w:rsidRPr="00CD02E9">
        <w:rPr>
          <w:rFonts w:ascii="Arial" w:eastAsia="微软雅黑" w:hAnsi="Arial" w:cs="Arial"/>
          <w:sz w:val="24"/>
          <w:szCs w:val="24"/>
          <w:lang w:val="en-GB"/>
        </w:rPr>
        <w:t>As of the end of September 2017, the Bank reported</w:t>
      </w:r>
      <w:r w:rsidR="007B7AFF">
        <w:rPr>
          <w:rFonts w:ascii="Arial" w:eastAsia="微软雅黑" w:hAnsi="Arial" w:cs="Arial"/>
          <w:sz w:val="24"/>
          <w:szCs w:val="24"/>
          <w:lang w:val="en-GB"/>
        </w:rPr>
        <w:t xml:space="preserve"> a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net profit of RMB</w:t>
      </w:r>
      <w:r w:rsidR="00762BC3">
        <w:rPr>
          <w:rFonts w:ascii="Arial" w:eastAsia="微软雅黑" w:hAnsi="Arial" w:cs="Arial"/>
          <w:sz w:val="24"/>
          <w:szCs w:val="24"/>
          <w:lang w:val="en-GB"/>
        </w:rPr>
        <w:t>2</w:t>
      </w:r>
      <w:r w:rsidR="004330AF" w:rsidRPr="004330AF">
        <w:rPr>
          <w:rFonts w:ascii="Arial" w:eastAsia="微软雅黑" w:hAnsi="Arial" w:cs="Arial"/>
          <w:sz w:val="24"/>
          <w:szCs w:val="24"/>
          <w:lang w:val="en-GB"/>
        </w:rPr>
        <w:t>02</w:t>
      </w:r>
      <w:r w:rsidR="00762BC3">
        <w:rPr>
          <w:rFonts w:ascii="Arial" w:eastAsia="微软雅黑" w:hAnsi="Arial" w:cs="Arial"/>
          <w:sz w:val="24"/>
          <w:szCs w:val="24"/>
          <w:lang w:val="en-GB"/>
        </w:rPr>
        <w:t>,2</w:t>
      </w:r>
      <w:r w:rsidR="004330AF" w:rsidRPr="004330AF">
        <w:rPr>
          <w:rFonts w:ascii="Arial" w:eastAsia="微软雅黑" w:hAnsi="Arial" w:cs="Arial"/>
          <w:sz w:val="24"/>
          <w:szCs w:val="24"/>
          <w:lang w:val="en-GB"/>
        </w:rPr>
        <w:t>73</w:t>
      </w:r>
      <w:r>
        <w:rPr>
          <w:rFonts w:ascii="Arial" w:eastAsia="微软雅黑" w:hAnsi="Arial" w:cs="Arial"/>
          <w:sz w:val="24"/>
          <w:szCs w:val="24"/>
          <w:lang w:val="en-GB"/>
        </w:rPr>
        <w:t xml:space="preserve"> million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, a year-on-year increase of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3.91</w:t>
      </w:r>
      <w:r>
        <w:rPr>
          <w:rFonts w:ascii="Arial" w:eastAsia="微软雅黑" w:hAnsi="Arial" w:cs="Arial"/>
          <w:sz w:val="24"/>
          <w:szCs w:val="24"/>
          <w:lang w:val="en-GB"/>
        </w:rPr>
        <w:t>%, in which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net profit attributable to equity shareholders improved by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3.82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% year-on-year to RMB</w:t>
      </w:r>
      <w:r w:rsidR="00762BC3">
        <w:rPr>
          <w:rFonts w:ascii="Arial" w:eastAsia="微软雅黑" w:hAnsi="Arial" w:cs="Arial"/>
          <w:sz w:val="24"/>
          <w:szCs w:val="24"/>
          <w:lang w:val="en-GB"/>
        </w:rPr>
        <w:t>201,2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42</w:t>
      </w:r>
      <w:r>
        <w:rPr>
          <w:rFonts w:ascii="Arial" w:eastAsia="微软雅黑" w:hAnsi="Arial" w:cs="Arial"/>
          <w:sz w:val="24"/>
          <w:szCs w:val="24"/>
          <w:lang w:val="en-GB"/>
        </w:rPr>
        <w:t xml:space="preserve"> million</w:t>
      </w:r>
      <w:r w:rsidR="00D868C6">
        <w:rPr>
          <w:rFonts w:ascii="Arial" w:eastAsia="微软雅黑" w:hAnsi="Arial" w:cs="Arial"/>
          <w:sz w:val="24"/>
          <w:szCs w:val="24"/>
          <w:lang w:val="en-GB"/>
        </w:rPr>
        <w:t>. Annualis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ed retur</w:t>
      </w:r>
      <w:r w:rsidR="005C65FA">
        <w:rPr>
          <w:rFonts w:ascii="Arial" w:eastAsia="微软雅黑" w:hAnsi="Arial" w:cs="Arial"/>
          <w:sz w:val="24"/>
          <w:szCs w:val="24"/>
          <w:lang w:val="en-GB"/>
        </w:rPr>
        <w:t>n on average assets and annualis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ed return on average equity were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1.25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% and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16.52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%</w:t>
      </w:r>
      <w:r w:rsidR="00BB356F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respectively. </w:t>
      </w:r>
      <w:r w:rsidR="008B2BB6">
        <w:rPr>
          <w:rFonts w:ascii="Arial" w:eastAsia="微软雅黑" w:hAnsi="Arial" w:cs="Arial" w:hint="eastAsia"/>
          <w:sz w:val="24"/>
          <w:szCs w:val="24"/>
          <w:lang w:val="en-GB"/>
        </w:rPr>
        <w:t>N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et interest income</w:t>
      </w:r>
      <w:r w:rsidR="008B2BB6">
        <w:rPr>
          <w:rFonts w:ascii="Arial" w:eastAsia="微软雅黑" w:hAnsi="Arial" w:cs="Arial" w:hint="eastAsia"/>
          <w:sz w:val="24"/>
          <w:szCs w:val="24"/>
          <w:lang w:val="en-GB"/>
        </w:rPr>
        <w:t xml:space="preserve"> amounted to RMB</w:t>
      </w:r>
      <w:r w:rsidR="00762BC3">
        <w:rPr>
          <w:rFonts w:ascii="Arial" w:eastAsia="微软雅黑" w:hAnsi="Arial" w:cs="Arial"/>
          <w:sz w:val="24"/>
          <w:szCs w:val="24"/>
          <w:lang w:val="en-GB"/>
        </w:rPr>
        <w:t>3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33</w:t>
      </w:r>
      <w:proofErr w:type="gramStart"/>
      <w:r w:rsidR="00762BC3">
        <w:rPr>
          <w:rFonts w:ascii="Arial" w:eastAsia="微软雅黑" w:hAnsi="Arial" w:cs="Arial"/>
          <w:sz w:val="24"/>
          <w:szCs w:val="24"/>
          <w:lang w:val="en-GB"/>
        </w:rPr>
        <w:t>,3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24</w:t>
      </w:r>
      <w:proofErr w:type="gramEnd"/>
      <w:r w:rsidR="008B2BB6">
        <w:rPr>
          <w:rFonts w:ascii="Arial" w:eastAsia="微软雅黑" w:hAnsi="Arial" w:cs="Arial" w:hint="eastAsia"/>
          <w:sz w:val="24"/>
          <w:szCs w:val="24"/>
          <w:lang w:val="en-GB"/>
        </w:rPr>
        <w:t xml:space="preserve"> million while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net interest spread and net interest margin were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2.03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% and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2.16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% respectively.</w:t>
      </w:r>
    </w:p>
    <w:p w14:paraId="11F17176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769A7110" w14:textId="6A780A85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With the </w:t>
      </w:r>
      <w:r w:rsidR="004F621E">
        <w:rPr>
          <w:rFonts w:ascii="Arial" w:eastAsia="微软雅黑" w:hAnsi="Arial" w:cs="Arial" w:hint="eastAsia"/>
          <w:sz w:val="24"/>
          <w:szCs w:val="24"/>
          <w:lang w:val="en-GB"/>
        </w:rPr>
        <w:t xml:space="preserve">sound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development of its deposit and loan services, the Bank saw </w:t>
      </w:r>
      <w:r w:rsidR="00316585">
        <w:rPr>
          <w:rFonts w:ascii="Arial" w:eastAsia="微软雅黑" w:hAnsi="Arial" w:cs="Arial" w:hint="eastAsia"/>
          <w:sz w:val="24"/>
          <w:szCs w:val="24"/>
          <w:lang w:val="en-GB"/>
        </w:rPr>
        <w:t xml:space="preserve">a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solid growth in its fee-based business</w:t>
      </w:r>
      <w:r w:rsidR="00316585">
        <w:rPr>
          <w:rFonts w:ascii="Arial" w:eastAsia="微软雅黑" w:hAnsi="Arial" w:cs="Arial" w:hint="eastAsia"/>
          <w:sz w:val="24"/>
          <w:szCs w:val="24"/>
          <w:lang w:val="en-GB"/>
        </w:rPr>
        <w:t>es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. As of the end of September 2017, net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lastRenderedPageBreak/>
        <w:t xml:space="preserve">fee and commission income </w:t>
      </w:r>
      <w:r w:rsidR="00316585">
        <w:rPr>
          <w:rFonts w:ascii="Arial" w:eastAsia="微软雅黑" w:hAnsi="Arial" w:cs="Arial" w:hint="eastAsia"/>
          <w:sz w:val="24"/>
          <w:szCs w:val="24"/>
          <w:lang w:val="en-GB"/>
        </w:rPr>
        <w:t>climbed by</w:t>
      </w:r>
      <w:r w:rsidR="00316585" w:rsidRPr="00CD02E9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1.45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% year-on-year to RMB</w:t>
      </w:r>
      <w:r w:rsidR="00762BC3">
        <w:rPr>
          <w:rFonts w:ascii="Arial" w:eastAsia="微软雅黑" w:hAnsi="Arial" w:cs="Arial"/>
          <w:sz w:val="24"/>
          <w:szCs w:val="24"/>
          <w:lang w:val="en-GB"/>
        </w:rPr>
        <w:t>93,6</w:t>
      </w:r>
      <w:r w:rsidR="00762BC3" w:rsidRPr="00762BC3">
        <w:rPr>
          <w:rFonts w:ascii="Arial" w:eastAsia="微软雅黑" w:hAnsi="Arial" w:cs="Arial"/>
          <w:sz w:val="24"/>
          <w:szCs w:val="24"/>
          <w:lang w:val="en-GB"/>
        </w:rPr>
        <w:t>49</w:t>
      </w:r>
      <w:r>
        <w:rPr>
          <w:rFonts w:ascii="Arial" w:eastAsia="微软雅黑" w:hAnsi="Arial" w:cs="Arial"/>
          <w:sz w:val="24"/>
          <w:szCs w:val="24"/>
          <w:lang w:val="en-GB"/>
        </w:rPr>
        <w:t xml:space="preserve"> million</w:t>
      </w:r>
      <w:r w:rsidR="007B7AFF">
        <w:rPr>
          <w:rFonts w:ascii="Arial" w:eastAsia="微软雅黑" w:hAnsi="Arial" w:cs="Arial"/>
          <w:sz w:val="24"/>
          <w:szCs w:val="24"/>
          <w:lang w:val="en-GB"/>
        </w:rPr>
        <w:t xml:space="preserve">. Cards,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electronic banking and wealth management products maintain</w:t>
      </w:r>
      <w:r w:rsidR="007B7AFF">
        <w:rPr>
          <w:rFonts w:ascii="Arial" w:eastAsia="微软雅黑" w:hAnsi="Arial" w:cs="Arial"/>
          <w:sz w:val="24"/>
          <w:szCs w:val="24"/>
          <w:lang w:val="en-GB"/>
        </w:rPr>
        <w:t xml:space="preserve">ed a </w:t>
      </w:r>
      <w:r w:rsidR="00ED6629">
        <w:rPr>
          <w:rFonts w:ascii="Arial" w:eastAsia="微软雅黑" w:hAnsi="Arial" w:cs="Arial" w:hint="eastAsia"/>
          <w:sz w:val="24"/>
          <w:szCs w:val="24"/>
          <w:lang w:val="en-GB"/>
        </w:rPr>
        <w:t>steady</w:t>
      </w:r>
      <w:r w:rsidR="00ED6629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contribut</w:t>
      </w:r>
      <w:r w:rsidR="00063AB3">
        <w:rPr>
          <w:rFonts w:ascii="Arial" w:eastAsia="微软雅黑" w:hAnsi="Arial" w:cs="Arial"/>
          <w:sz w:val="24"/>
          <w:szCs w:val="24"/>
          <w:lang w:val="en-GB"/>
        </w:rPr>
        <w:t xml:space="preserve">ion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 xml:space="preserve">to a </w:t>
      </w:r>
      <w:r w:rsidR="004B0EF2">
        <w:rPr>
          <w:rFonts w:ascii="Arial" w:eastAsia="微软雅黑" w:hAnsi="Arial" w:cs="Arial"/>
          <w:sz w:val="24"/>
          <w:szCs w:val="24"/>
          <w:lang w:val="en-GB"/>
        </w:rPr>
        <w:t>sustain</w:t>
      </w:r>
      <w:r w:rsidR="004B0EF2">
        <w:rPr>
          <w:rFonts w:ascii="Arial" w:eastAsia="微软雅黑" w:hAnsi="Arial" w:cs="Arial" w:hint="eastAsia"/>
          <w:sz w:val="24"/>
          <w:szCs w:val="24"/>
          <w:lang w:val="en-GB"/>
        </w:rPr>
        <w:t>ed</w:t>
      </w:r>
      <w:r w:rsidR="004B0EF2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 xml:space="preserve">growth in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income.</w:t>
      </w:r>
    </w:p>
    <w:p w14:paraId="1DF071AB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2C457487" w14:textId="102422DA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As of the end of September 2017, the Bank’s total capital ratio,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t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ier 1 ratio and common equity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t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ier 1 ratio were </w:t>
      </w:r>
      <w:r w:rsidR="00B357D7" w:rsidRPr="00B357D7">
        <w:rPr>
          <w:rFonts w:ascii="Arial" w:eastAsia="微软雅黑" w:hAnsi="Arial" w:cs="Arial"/>
          <w:sz w:val="24"/>
          <w:szCs w:val="24"/>
          <w:lang w:val="en-GB"/>
        </w:rPr>
        <w:t>14.67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%, </w:t>
      </w:r>
      <w:r w:rsidR="00B357D7" w:rsidRPr="00B357D7">
        <w:rPr>
          <w:rFonts w:ascii="Arial" w:eastAsia="微软雅黑" w:hAnsi="Arial" w:cs="Arial"/>
          <w:sz w:val="24"/>
          <w:szCs w:val="24"/>
          <w:lang w:val="en-GB"/>
        </w:rPr>
        <w:t>12.99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% and </w:t>
      </w:r>
      <w:r w:rsidR="00B357D7" w:rsidRPr="00B357D7">
        <w:rPr>
          <w:rFonts w:ascii="Arial" w:eastAsia="微软雅黑" w:hAnsi="Arial" w:cs="Arial"/>
          <w:sz w:val="24"/>
          <w:szCs w:val="24"/>
          <w:lang w:val="en-GB"/>
        </w:rPr>
        <w:t>12.84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% respectively, in line with the regulatory requirements.</w:t>
      </w:r>
    </w:p>
    <w:p w14:paraId="7F943CDA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74EF60EB" w14:textId="62192A8A" w:rsidR="00BD334F" w:rsidRDefault="00CD02E9" w:rsidP="00BD334F">
      <w:pPr>
        <w:rPr>
          <w:rFonts w:ascii="Arial" w:eastAsia="微软雅黑" w:hAnsi="Arial" w:cs="Arial"/>
          <w:sz w:val="24"/>
          <w:szCs w:val="24"/>
          <w:lang w:val="en-GB"/>
        </w:rPr>
      </w:pPr>
      <w:r w:rsidRPr="00CD02E9">
        <w:rPr>
          <w:rFonts w:ascii="Arial" w:eastAsia="微软雅黑" w:hAnsi="Arial" w:cs="Arial"/>
          <w:sz w:val="24"/>
          <w:szCs w:val="24"/>
          <w:lang w:val="en-GB"/>
        </w:rPr>
        <w:t>I</w:t>
      </w:r>
      <w:r>
        <w:rPr>
          <w:rFonts w:ascii="Arial" w:eastAsia="微软雅黑" w:hAnsi="Arial" w:cs="Arial"/>
          <w:sz w:val="24"/>
          <w:szCs w:val="24"/>
          <w:lang w:val="en-GB"/>
        </w:rPr>
        <w:t xml:space="preserve">n general,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the Bank deliver</w:t>
      </w:r>
      <w:r w:rsidR="00B77824">
        <w:rPr>
          <w:rFonts w:ascii="Arial" w:eastAsia="微软雅黑" w:hAnsi="Arial" w:cs="Arial" w:hint="eastAsia"/>
          <w:sz w:val="24"/>
          <w:szCs w:val="24"/>
          <w:lang w:val="en-GB"/>
        </w:rPr>
        <w:t>ed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outstanding results a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 xml:space="preserve">s it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continued to </w:t>
      </w:r>
      <w:r w:rsidR="00E00AFD">
        <w:rPr>
          <w:rFonts w:ascii="Arial" w:eastAsia="微软雅黑" w:hAnsi="Arial" w:cs="Arial" w:hint="eastAsia"/>
          <w:sz w:val="24"/>
          <w:szCs w:val="24"/>
          <w:lang w:val="en-GB"/>
        </w:rPr>
        <w:t>enhance</w:t>
      </w:r>
      <w:r w:rsidR="00E00AFD" w:rsidRPr="00CD02E9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its comprehensive strength amid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st a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complex external environment</w:t>
      </w:r>
      <w:r w:rsidR="00A01221">
        <w:rPr>
          <w:rFonts w:ascii="Arial" w:eastAsia="微软雅黑" w:hAnsi="Arial" w:cs="Arial"/>
          <w:sz w:val="24"/>
          <w:szCs w:val="24"/>
          <w:lang w:val="en-GB"/>
        </w:rPr>
        <w:t xml:space="preserve"> in the third quarter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.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 xml:space="preserve">Moving forward,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the Bank will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continue to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A01221" w:rsidRPr="00CD02E9">
        <w:rPr>
          <w:rFonts w:ascii="Arial" w:eastAsia="微软雅黑" w:hAnsi="Arial" w:cs="Arial"/>
          <w:sz w:val="24"/>
          <w:szCs w:val="24"/>
          <w:lang w:val="en-GB"/>
        </w:rPr>
        <w:t>serv</w:t>
      </w:r>
      <w:r w:rsidR="00A01221">
        <w:rPr>
          <w:rFonts w:ascii="Arial" w:eastAsia="微软雅黑" w:hAnsi="Arial" w:cs="Arial"/>
          <w:sz w:val="24"/>
          <w:szCs w:val="24"/>
          <w:lang w:val="en-GB"/>
        </w:rPr>
        <w:t>e</w:t>
      </w:r>
      <w:r w:rsidR="00A01221" w:rsidRPr="00CD02E9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the real economy, prevent</w:t>
      </w:r>
      <w:r w:rsidR="003F4B1C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>and contro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>l</w:t>
      </w:r>
      <w:r w:rsidRPr="00CD02E9">
        <w:rPr>
          <w:rFonts w:ascii="Arial" w:eastAsia="微软雅黑" w:hAnsi="Arial" w:cs="Arial"/>
          <w:sz w:val="24"/>
          <w:szCs w:val="24"/>
          <w:lang w:val="en-GB"/>
        </w:rPr>
        <w:t xml:space="preserve"> financial risks, and deepen financial reforms.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810BE2">
        <w:rPr>
          <w:rFonts w:ascii="Arial" w:eastAsia="微软雅黑" w:hAnsi="Arial" w:cs="Arial"/>
          <w:sz w:val="24"/>
          <w:szCs w:val="24"/>
          <w:lang w:val="en-GB"/>
        </w:rPr>
        <w:t xml:space="preserve">As the Chinese economy </w:t>
      </w:r>
      <w:r w:rsidR="00E00AFD">
        <w:rPr>
          <w:rFonts w:ascii="Arial" w:eastAsia="微软雅黑" w:hAnsi="Arial" w:cs="Arial" w:hint="eastAsia"/>
          <w:sz w:val="24"/>
          <w:szCs w:val="24"/>
          <w:lang w:val="en-GB"/>
        </w:rPr>
        <w:t>shifts its focus</w:t>
      </w:r>
      <w:r w:rsidR="00E00AFD">
        <w:rPr>
          <w:rFonts w:ascii="Arial" w:eastAsia="微软雅黑" w:hAnsi="Arial" w:cs="Arial"/>
          <w:sz w:val="24"/>
          <w:szCs w:val="24"/>
          <w:lang w:val="en-GB"/>
        </w:rPr>
        <w:t xml:space="preserve"> 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from </w:t>
      </w:r>
      <w:r w:rsidR="009D7A7B">
        <w:rPr>
          <w:rFonts w:ascii="Arial" w:eastAsia="微软雅黑" w:hAnsi="Arial" w:cs="Arial"/>
          <w:sz w:val="24"/>
          <w:szCs w:val="24"/>
          <w:lang w:val="en-GB"/>
        </w:rPr>
        <w:t>high</w:t>
      </w:r>
      <w:r w:rsidR="009D7A7B">
        <w:rPr>
          <w:rFonts w:ascii="Arial" w:eastAsia="微软雅黑" w:hAnsi="Arial" w:cs="Arial" w:hint="eastAsia"/>
          <w:sz w:val="24"/>
          <w:szCs w:val="24"/>
          <w:lang w:val="en-GB"/>
        </w:rPr>
        <w:t>-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speed growth to </w:t>
      </w:r>
      <w:r w:rsidR="009D7A7B">
        <w:rPr>
          <w:rFonts w:ascii="Arial" w:eastAsia="微软雅黑" w:hAnsi="Arial" w:cs="Arial"/>
          <w:sz w:val="24"/>
          <w:szCs w:val="24"/>
          <w:lang w:val="en-GB"/>
        </w:rPr>
        <w:t>high</w:t>
      </w:r>
      <w:r w:rsidR="009D7A7B">
        <w:rPr>
          <w:rFonts w:ascii="Arial" w:eastAsia="微软雅黑" w:hAnsi="Arial" w:cs="Arial" w:hint="eastAsia"/>
          <w:sz w:val="24"/>
          <w:szCs w:val="24"/>
          <w:lang w:val="en-GB"/>
        </w:rPr>
        <w:t>-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quality growth, the Bank will </w:t>
      </w:r>
      <w:r w:rsidR="00926C29">
        <w:rPr>
          <w:rFonts w:ascii="Arial" w:eastAsia="微软雅黑" w:hAnsi="Arial" w:cs="Arial" w:hint="eastAsia"/>
          <w:sz w:val="24"/>
          <w:szCs w:val="24"/>
          <w:lang w:val="en-GB"/>
        </w:rPr>
        <w:t xml:space="preserve">constantly 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>strengthen its innovation power and competitive edge</w:t>
      </w:r>
      <w:r w:rsidR="00A01221">
        <w:rPr>
          <w:rFonts w:ascii="Arial" w:eastAsia="微软雅黑" w:hAnsi="Arial" w:cs="Arial"/>
          <w:sz w:val="24"/>
          <w:szCs w:val="24"/>
          <w:lang w:val="en-GB"/>
        </w:rPr>
        <w:t xml:space="preserve"> to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 realise its full potential</w:t>
      </w:r>
      <w:r w:rsidR="00A01221">
        <w:rPr>
          <w:rFonts w:ascii="Arial" w:eastAsia="微软雅黑" w:hAnsi="Arial" w:cs="Arial"/>
          <w:sz w:val="24"/>
          <w:szCs w:val="24"/>
          <w:lang w:val="en-GB"/>
        </w:rPr>
        <w:t xml:space="preserve"> and</w:t>
      </w:r>
      <w:r w:rsidR="00BD334F">
        <w:rPr>
          <w:rFonts w:ascii="Arial" w:eastAsia="微软雅黑" w:hAnsi="Arial" w:cs="Arial"/>
          <w:sz w:val="24"/>
          <w:szCs w:val="24"/>
          <w:lang w:val="en-GB"/>
        </w:rPr>
        <w:t xml:space="preserve"> meet the new demands of the economic transformation.</w:t>
      </w:r>
    </w:p>
    <w:p w14:paraId="499862B5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760F8D85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4DB52A5E" w14:textId="77777777" w:rsidR="00CD02E9" w:rsidRDefault="00CD02E9">
      <w:pPr>
        <w:rPr>
          <w:rFonts w:ascii="Arial" w:eastAsia="微软雅黑" w:hAnsi="Arial" w:cs="Arial"/>
          <w:sz w:val="24"/>
          <w:szCs w:val="24"/>
          <w:lang w:val="en-GB"/>
        </w:rPr>
      </w:pPr>
    </w:p>
    <w:p w14:paraId="3A272626" w14:textId="77777777" w:rsidR="00CD02E9" w:rsidRPr="00CD02E9" w:rsidRDefault="00CD02E9" w:rsidP="00CD02E9">
      <w:pPr>
        <w:jc w:val="center"/>
        <w:rPr>
          <w:rFonts w:ascii="Arial" w:eastAsia="微软雅黑" w:hAnsi="Arial" w:cs="Arial"/>
          <w:sz w:val="24"/>
          <w:szCs w:val="24"/>
          <w:lang w:val="en-GB"/>
        </w:rPr>
      </w:pPr>
      <w:r>
        <w:rPr>
          <w:rFonts w:ascii="Arial" w:eastAsia="微软雅黑" w:hAnsi="Arial" w:cs="Arial"/>
          <w:sz w:val="24"/>
          <w:szCs w:val="24"/>
          <w:lang w:val="en-GB"/>
        </w:rPr>
        <w:t>###</w:t>
      </w:r>
    </w:p>
    <w:sectPr w:rsidR="00CD02E9" w:rsidRPr="00CD02E9" w:rsidSect="00B1588A">
      <w:headerReference w:type="default" r:id="rId7"/>
      <w:footerReference w:type="default" r:id="rId8"/>
      <w:pgSz w:w="11906" w:h="16838"/>
      <w:pgMar w:top="863" w:right="1800" w:bottom="1440" w:left="1800" w:header="794" w:footer="9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4621F" w14:textId="77777777" w:rsidR="00984C73" w:rsidRDefault="00984C73" w:rsidP="006C6E72">
      <w:r>
        <w:separator/>
      </w:r>
    </w:p>
  </w:endnote>
  <w:endnote w:type="continuationSeparator" w:id="0">
    <w:p w14:paraId="1DB42E85" w14:textId="77777777" w:rsidR="00984C73" w:rsidRDefault="00984C73" w:rsidP="006C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A7894" w14:textId="17491140" w:rsidR="00303AFB" w:rsidRDefault="00191610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B2003">
      <w:rPr>
        <w:noProof/>
      </w:rPr>
      <w:t>2</w:t>
    </w:r>
    <w:r>
      <w:rPr>
        <w:noProof/>
      </w:rPr>
      <w:fldChar w:fldCharType="end"/>
    </w:r>
  </w:p>
  <w:p w14:paraId="5E9098DC" w14:textId="77777777" w:rsidR="00303AFB" w:rsidRDefault="00984C73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3DD54" w14:textId="77777777" w:rsidR="00984C73" w:rsidRDefault="00984C73" w:rsidP="006C6E72">
      <w:r>
        <w:separator/>
      </w:r>
    </w:p>
  </w:footnote>
  <w:footnote w:type="continuationSeparator" w:id="0">
    <w:p w14:paraId="3F0D8883" w14:textId="77777777" w:rsidR="00984C73" w:rsidRDefault="00984C73" w:rsidP="006C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F10D9" w14:textId="77777777" w:rsidR="00303AFB" w:rsidRDefault="00191610" w:rsidP="006241D5">
    <w:pPr>
      <w:pStyle w:val="a3"/>
      <w:pBdr>
        <w:bottom w:val="none" w:sz="0" w:space="0" w:color="auto"/>
      </w:pBdr>
      <w:ind w:left="-270"/>
      <w:jc w:val="right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539E3F74" wp14:editId="78F521E6">
          <wp:extent cx="2324100" cy="790575"/>
          <wp:effectExtent l="0" t="0" r="0" b="9525"/>
          <wp:docPr id="2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62"/>
    <w:rsid w:val="00032EB0"/>
    <w:rsid w:val="00063AB3"/>
    <w:rsid w:val="000B6219"/>
    <w:rsid w:val="00174FAB"/>
    <w:rsid w:val="00191195"/>
    <w:rsid w:val="00191610"/>
    <w:rsid w:val="001B2003"/>
    <w:rsid w:val="002D2784"/>
    <w:rsid w:val="00306606"/>
    <w:rsid w:val="00316585"/>
    <w:rsid w:val="0039691D"/>
    <w:rsid w:val="003B7861"/>
    <w:rsid w:val="003C5E50"/>
    <w:rsid w:val="003F4B1C"/>
    <w:rsid w:val="004330AF"/>
    <w:rsid w:val="00476C1C"/>
    <w:rsid w:val="004B0EF2"/>
    <w:rsid w:val="004F621E"/>
    <w:rsid w:val="00510B3E"/>
    <w:rsid w:val="0051171A"/>
    <w:rsid w:val="005A1926"/>
    <w:rsid w:val="005C65FA"/>
    <w:rsid w:val="005F382D"/>
    <w:rsid w:val="006104CD"/>
    <w:rsid w:val="00613218"/>
    <w:rsid w:val="00651CC5"/>
    <w:rsid w:val="006C6E72"/>
    <w:rsid w:val="00725BA6"/>
    <w:rsid w:val="00762BC3"/>
    <w:rsid w:val="007940EB"/>
    <w:rsid w:val="007A715F"/>
    <w:rsid w:val="007A7D9E"/>
    <w:rsid w:val="007B7AFF"/>
    <w:rsid w:val="00803468"/>
    <w:rsid w:val="0081078E"/>
    <w:rsid w:val="00810BE2"/>
    <w:rsid w:val="00831C3B"/>
    <w:rsid w:val="00847182"/>
    <w:rsid w:val="008B2BB6"/>
    <w:rsid w:val="00926C29"/>
    <w:rsid w:val="00984C73"/>
    <w:rsid w:val="009B5F3E"/>
    <w:rsid w:val="009D7A7B"/>
    <w:rsid w:val="00A01221"/>
    <w:rsid w:val="00B0574A"/>
    <w:rsid w:val="00B357D7"/>
    <w:rsid w:val="00B57428"/>
    <w:rsid w:val="00B77824"/>
    <w:rsid w:val="00B941C0"/>
    <w:rsid w:val="00BA1356"/>
    <w:rsid w:val="00BB356F"/>
    <w:rsid w:val="00BD334F"/>
    <w:rsid w:val="00BD77AE"/>
    <w:rsid w:val="00C536F7"/>
    <w:rsid w:val="00C75D1A"/>
    <w:rsid w:val="00CC2FF9"/>
    <w:rsid w:val="00CC654A"/>
    <w:rsid w:val="00CD02E9"/>
    <w:rsid w:val="00CD7C2E"/>
    <w:rsid w:val="00D5526C"/>
    <w:rsid w:val="00D868C6"/>
    <w:rsid w:val="00DA02EA"/>
    <w:rsid w:val="00E00AFD"/>
    <w:rsid w:val="00E70362"/>
    <w:rsid w:val="00ED6629"/>
    <w:rsid w:val="00EF6432"/>
    <w:rsid w:val="00F01C24"/>
    <w:rsid w:val="00FA05B9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85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62"/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62"/>
    <w:rPr>
      <w:rFonts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62"/>
    <w:rPr>
      <w:rFonts w:cstheme="minorBidi"/>
      <w:sz w:val="18"/>
      <w:szCs w:val="18"/>
    </w:rPr>
  </w:style>
  <w:style w:type="paragraph" w:customStyle="1" w:styleId="ListParagraph1">
    <w:name w:val="List Paragraph1"/>
    <w:basedOn w:val="a"/>
    <w:uiPriority w:val="99"/>
    <w:rsid w:val="00E70362"/>
    <w:pPr>
      <w:ind w:left="720"/>
    </w:pPr>
  </w:style>
  <w:style w:type="character" w:customStyle="1" w:styleId="Char1">
    <w:name w:val="正文文本 Char"/>
    <w:aliases w:val="Concepto Char,bt Char,Body Text - Level 2 Char,BT Char,b Char,body indent Char,Appendix1 Char,Body Char,by Char,o Char,bt wide Char,Concepto1 Char,bt1 Char,Body Text - Level 21 Char,BT1 Char,b1 Char,body indent1 Char,Appendix11 Char,Body1 Char"/>
    <w:basedOn w:val="a0"/>
    <w:link w:val="a5"/>
    <w:semiHidden/>
    <w:locked/>
    <w:rsid w:val="00E70362"/>
    <w:rPr>
      <w:rFonts w:ascii="Tms Rmn" w:hAnsi="Tms Rmn"/>
      <w:lang w:eastAsia="en-US"/>
    </w:rPr>
  </w:style>
  <w:style w:type="paragraph" w:styleId="a5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"/>
    <w:basedOn w:val="a"/>
    <w:link w:val="Char1"/>
    <w:semiHidden/>
    <w:unhideWhenUsed/>
    <w:rsid w:val="00E70362"/>
    <w:pPr>
      <w:widowControl/>
      <w:spacing w:before="130" w:after="130"/>
    </w:pPr>
    <w:rPr>
      <w:rFonts w:ascii="Tms Rmn" w:eastAsiaTheme="minorEastAsia" w:hAnsi="Tms Rmn" w:cs="宋体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rsid w:val="00E70362"/>
    <w:rPr>
      <w:rFonts w:ascii="Calibri" w:eastAsia="宋体" w:hAnsi="Calibri" w:cs="Calibri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D334F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334F"/>
    <w:rPr>
      <w:rFonts w:ascii="Segoe UI" w:eastAsia="宋体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1221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A01221"/>
    <w:rPr>
      <w:sz w:val="20"/>
      <w:szCs w:val="20"/>
    </w:rPr>
  </w:style>
  <w:style w:type="character" w:customStyle="1" w:styleId="Char3">
    <w:name w:val="批注文字 Char"/>
    <w:basedOn w:val="a0"/>
    <w:link w:val="a8"/>
    <w:uiPriority w:val="99"/>
    <w:semiHidden/>
    <w:rsid w:val="00A01221"/>
    <w:rPr>
      <w:rFonts w:ascii="Calibri" w:eastAsia="宋体" w:hAnsi="Calibri" w:cs="Calibri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A01221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A01221"/>
    <w:rPr>
      <w:rFonts w:ascii="Calibri" w:eastAsia="宋体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62"/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62"/>
    <w:rPr>
      <w:rFonts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62"/>
    <w:rPr>
      <w:rFonts w:cstheme="minorBidi"/>
      <w:sz w:val="18"/>
      <w:szCs w:val="18"/>
    </w:rPr>
  </w:style>
  <w:style w:type="paragraph" w:customStyle="1" w:styleId="ListParagraph1">
    <w:name w:val="List Paragraph1"/>
    <w:basedOn w:val="a"/>
    <w:uiPriority w:val="99"/>
    <w:rsid w:val="00E70362"/>
    <w:pPr>
      <w:ind w:left="720"/>
    </w:pPr>
  </w:style>
  <w:style w:type="character" w:customStyle="1" w:styleId="Char1">
    <w:name w:val="正文文本 Char"/>
    <w:aliases w:val="Concepto Char,bt Char,Body Text - Level 2 Char,BT Char,b Char,body indent Char,Appendix1 Char,Body Char,by Char,o Char,bt wide Char,Concepto1 Char,bt1 Char,Body Text - Level 21 Char,BT1 Char,b1 Char,body indent1 Char,Appendix11 Char,Body1 Char"/>
    <w:basedOn w:val="a0"/>
    <w:link w:val="a5"/>
    <w:semiHidden/>
    <w:locked/>
    <w:rsid w:val="00E70362"/>
    <w:rPr>
      <w:rFonts w:ascii="Tms Rmn" w:hAnsi="Tms Rmn"/>
      <w:lang w:eastAsia="en-US"/>
    </w:rPr>
  </w:style>
  <w:style w:type="paragraph" w:styleId="a5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"/>
    <w:basedOn w:val="a"/>
    <w:link w:val="Char1"/>
    <w:semiHidden/>
    <w:unhideWhenUsed/>
    <w:rsid w:val="00E70362"/>
    <w:pPr>
      <w:widowControl/>
      <w:spacing w:before="130" w:after="130"/>
    </w:pPr>
    <w:rPr>
      <w:rFonts w:ascii="Tms Rmn" w:eastAsiaTheme="minorEastAsia" w:hAnsi="Tms Rmn" w:cs="宋体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rsid w:val="00E70362"/>
    <w:rPr>
      <w:rFonts w:ascii="Calibri" w:eastAsia="宋体" w:hAnsi="Calibri" w:cs="Calibri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D334F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334F"/>
    <w:rPr>
      <w:rFonts w:ascii="Segoe UI" w:eastAsia="宋体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1221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A01221"/>
    <w:rPr>
      <w:sz w:val="20"/>
      <w:szCs w:val="20"/>
    </w:rPr>
  </w:style>
  <w:style w:type="character" w:customStyle="1" w:styleId="Char3">
    <w:name w:val="批注文字 Char"/>
    <w:basedOn w:val="a0"/>
    <w:link w:val="a8"/>
    <w:uiPriority w:val="99"/>
    <w:semiHidden/>
    <w:rsid w:val="00A01221"/>
    <w:rPr>
      <w:rFonts w:ascii="Calibri" w:eastAsia="宋体" w:hAnsi="Calibri" w:cs="Calibri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A01221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A01221"/>
    <w:rPr>
      <w:rFonts w:ascii="Calibri" w:eastAsia="宋体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Luning</dc:creator>
  <cp:keywords/>
  <dc:description/>
  <cp:lastModifiedBy>张利群</cp:lastModifiedBy>
  <cp:revision>3</cp:revision>
  <dcterms:created xsi:type="dcterms:W3CDTF">2017-10-26T10:54:00Z</dcterms:created>
  <dcterms:modified xsi:type="dcterms:W3CDTF">2017-10-26T11:48:00Z</dcterms:modified>
</cp:coreProperties>
</file>