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AD89" w14:textId="77777777" w:rsidR="00F858E2" w:rsidRPr="00984934" w:rsidRDefault="00F858E2" w:rsidP="00F858E2">
      <w:pPr>
        <w:adjustRightInd w:val="0"/>
        <w:snapToGrid w:val="0"/>
        <w:spacing w:line="300" w:lineRule="exact"/>
        <w:rPr>
          <w:sz w:val="24"/>
          <w:szCs w:val="24"/>
        </w:rPr>
      </w:pPr>
      <w:r w:rsidRPr="00042983">
        <w:rPr>
          <w:rFonts w:eastAsia="彩虹小标宋"/>
          <w:b/>
          <w:bCs/>
          <w:sz w:val="24"/>
          <w:szCs w:val="24"/>
        </w:rPr>
        <w:t>[</w:t>
      </w:r>
      <w:r w:rsidRPr="00984934">
        <w:rPr>
          <w:sz w:val="24"/>
          <w:szCs w:val="24"/>
        </w:rPr>
        <w:t>Press release]</w:t>
      </w:r>
    </w:p>
    <w:p w14:paraId="7FE057FA" w14:textId="77777777" w:rsidR="00F858E2" w:rsidRPr="00984934" w:rsidRDefault="00F858E2" w:rsidP="00F858E2">
      <w:pPr>
        <w:adjustRightInd w:val="0"/>
        <w:snapToGrid w:val="0"/>
        <w:spacing w:line="300" w:lineRule="exact"/>
        <w:rPr>
          <w:sz w:val="24"/>
          <w:szCs w:val="24"/>
        </w:rPr>
      </w:pPr>
      <w:r w:rsidRPr="00984934">
        <w:rPr>
          <w:sz w:val="24"/>
          <w:szCs w:val="24"/>
        </w:rPr>
        <w:t>For immediate distribution</w:t>
      </w:r>
    </w:p>
    <w:p w14:paraId="5C9C11A6" w14:textId="77777777" w:rsidR="00F858E2" w:rsidRPr="00984934" w:rsidRDefault="00F858E2" w:rsidP="00F858E2">
      <w:pPr>
        <w:adjustRightInd w:val="0"/>
        <w:snapToGrid w:val="0"/>
        <w:spacing w:line="300" w:lineRule="exact"/>
        <w:rPr>
          <w:sz w:val="24"/>
          <w:szCs w:val="24"/>
        </w:rPr>
      </w:pPr>
    </w:p>
    <w:p w14:paraId="6A5DE2A5" w14:textId="77777777" w:rsidR="00F858E2" w:rsidRPr="00984934" w:rsidRDefault="00F858E2" w:rsidP="00F858E2">
      <w:pPr>
        <w:adjustRightInd w:val="0"/>
        <w:snapToGrid w:val="0"/>
        <w:spacing w:line="300" w:lineRule="exact"/>
        <w:rPr>
          <w:sz w:val="24"/>
          <w:szCs w:val="24"/>
        </w:rPr>
      </w:pPr>
    </w:p>
    <w:p w14:paraId="2ECCCFE0" w14:textId="73144E5C" w:rsidR="00F858E2" w:rsidRPr="00984934" w:rsidRDefault="007E5AD9" w:rsidP="00F858E2">
      <w:pPr>
        <w:spacing w:line="300" w:lineRule="exact"/>
        <w:jc w:val="center"/>
        <w:rPr>
          <w:b/>
          <w:sz w:val="32"/>
          <w:szCs w:val="24"/>
        </w:rPr>
      </w:pPr>
      <w:r w:rsidRPr="007E5AD9">
        <w:rPr>
          <w:b/>
          <w:sz w:val="32"/>
          <w:szCs w:val="24"/>
        </w:rPr>
        <w:t>China Construction Bank Announces 2020 Q1 Results</w:t>
      </w:r>
    </w:p>
    <w:p w14:paraId="024F887D" w14:textId="77777777" w:rsidR="00F858E2" w:rsidRPr="00984934" w:rsidRDefault="00F858E2" w:rsidP="00F858E2">
      <w:pPr>
        <w:spacing w:line="300" w:lineRule="exact"/>
        <w:ind w:firstLineChars="200" w:firstLine="480"/>
        <w:rPr>
          <w:sz w:val="24"/>
          <w:szCs w:val="24"/>
        </w:rPr>
      </w:pPr>
    </w:p>
    <w:p w14:paraId="05D29DD9" w14:textId="7A5DC3EE" w:rsidR="007E5AD9" w:rsidRDefault="00F858E2" w:rsidP="007E5AD9">
      <w:pPr>
        <w:spacing w:line="300" w:lineRule="exact"/>
        <w:ind w:firstLineChars="200" w:firstLine="480"/>
        <w:jc w:val="both"/>
        <w:rPr>
          <w:sz w:val="24"/>
          <w:szCs w:val="24"/>
        </w:rPr>
      </w:pPr>
      <w:r w:rsidRPr="00984934">
        <w:rPr>
          <w:sz w:val="24"/>
          <w:szCs w:val="24"/>
        </w:rPr>
        <w:t>Beijing/Hong Kong, 2</w:t>
      </w:r>
      <w:r w:rsidR="007E5AD9">
        <w:rPr>
          <w:sz w:val="24"/>
          <w:szCs w:val="24"/>
        </w:rPr>
        <w:t>8</w:t>
      </w:r>
      <w:r w:rsidRPr="00984934">
        <w:rPr>
          <w:sz w:val="24"/>
          <w:szCs w:val="24"/>
        </w:rPr>
        <w:t xml:space="preserve"> April 20</w:t>
      </w:r>
      <w:r w:rsidR="007E5AD9">
        <w:rPr>
          <w:sz w:val="24"/>
          <w:szCs w:val="24"/>
        </w:rPr>
        <w:t>20</w:t>
      </w:r>
      <w:r w:rsidRPr="00984934">
        <w:rPr>
          <w:sz w:val="24"/>
          <w:szCs w:val="24"/>
        </w:rPr>
        <w:t xml:space="preserve"> – </w:t>
      </w:r>
      <w:r w:rsidR="007E5AD9" w:rsidRPr="007E5AD9">
        <w:rPr>
          <w:sz w:val="24"/>
          <w:szCs w:val="24"/>
        </w:rPr>
        <w:t>China Construction Bank Corporation (“the Bank” or “CCB”) (A-share stock code SH:601939; H-share stock code HK:939) released its operating results for the first quarter of 2020 on April 28, 2020 (the data herein was prepared according to the International Financial Reporting Standards on a consolidated basis and expressed in RMB unless otherwise stated). According to the report, CCB has maintained steady development in key performance indicators, including asset size, profitability, capital adequacy ratio and asset quality.</w:t>
      </w:r>
    </w:p>
    <w:p w14:paraId="7A32755F" w14:textId="77777777" w:rsidR="007E5AD9" w:rsidRPr="007E5AD9" w:rsidRDefault="007E5AD9" w:rsidP="007E5AD9">
      <w:pPr>
        <w:spacing w:line="300" w:lineRule="exact"/>
        <w:ind w:firstLineChars="200" w:firstLine="480"/>
        <w:jc w:val="both"/>
        <w:rPr>
          <w:sz w:val="24"/>
          <w:szCs w:val="24"/>
        </w:rPr>
      </w:pPr>
    </w:p>
    <w:p w14:paraId="7BFE47E6" w14:textId="1098099F" w:rsidR="007E5AD9" w:rsidRDefault="007E5AD9" w:rsidP="007E5AD9">
      <w:pPr>
        <w:spacing w:line="300" w:lineRule="exact"/>
        <w:ind w:firstLineChars="200" w:firstLine="480"/>
        <w:jc w:val="both"/>
        <w:rPr>
          <w:sz w:val="24"/>
          <w:szCs w:val="24"/>
        </w:rPr>
      </w:pPr>
      <w:r w:rsidRPr="007E5AD9">
        <w:rPr>
          <w:sz w:val="24"/>
          <w:szCs w:val="24"/>
        </w:rPr>
        <w:t>Since the beginning of 2020, CCB has supported the supply-side structural reform in the financial sector, and enhanced its own competence in serving national development, preventing financial risks and competing in the international arena while prioritizing the serving of the real economy and ensuring high-quality development in its operations. CCB has been strictly implementing the Party Central Committee’s decision</w:t>
      </w:r>
      <w:r>
        <w:rPr>
          <w:sz w:val="24"/>
          <w:szCs w:val="24"/>
        </w:rPr>
        <w:t xml:space="preserve"> </w:t>
      </w:r>
      <w:r w:rsidRPr="007E5AD9">
        <w:rPr>
          <w:sz w:val="24"/>
          <w:szCs w:val="24"/>
        </w:rPr>
        <w:t>making deployment and epidemic prevention and control measures. The organization is promoting epidemic prevention and control and financial services, fostering the use of digital platforms and tools to support the epidemic prevention and control efforts as well as resumption of work and production. It has focused on key social and economic development issues, sustaining the overall development planning of “Six Stabilities and Six Guarantees” by providing better-targeted financial support to achieve high-quality business development.</w:t>
      </w:r>
    </w:p>
    <w:p w14:paraId="7BF3E739" w14:textId="77777777" w:rsidR="007E5AD9" w:rsidRPr="007E5AD9" w:rsidRDefault="007E5AD9" w:rsidP="007E5AD9">
      <w:pPr>
        <w:spacing w:line="300" w:lineRule="exact"/>
        <w:ind w:firstLineChars="200" w:firstLine="480"/>
        <w:jc w:val="both"/>
        <w:rPr>
          <w:sz w:val="24"/>
          <w:szCs w:val="24"/>
        </w:rPr>
      </w:pPr>
    </w:p>
    <w:p w14:paraId="651939FD" w14:textId="22E33810" w:rsidR="007E5AD9" w:rsidRDefault="007E5AD9" w:rsidP="007E5AD9">
      <w:pPr>
        <w:spacing w:line="300" w:lineRule="exact"/>
        <w:ind w:firstLineChars="200" w:firstLine="480"/>
        <w:jc w:val="both"/>
        <w:rPr>
          <w:sz w:val="24"/>
          <w:szCs w:val="24"/>
        </w:rPr>
      </w:pPr>
      <w:r w:rsidRPr="007E5AD9">
        <w:rPr>
          <w:sz w:val="24"/>
          <w:szCs w:val="24"/>
        </w:rPr>
        <w:t xml:space="preserve">The quarterly report shows that CCB has achieved steady asset growth. Assets totaled </w:t>
      </w:r>
      <w:r w:rsidR="00D245AE" w:rsidRPr="00D245AE">
        <w:rPr>
          <w:sz w:val="24"/>
          <w:szCs w:val="24"/>
        </w:rPr>
        <w:t>27,110</w:t>
      </w:r>
      <w:r w:rsidR="00D245AE">
        <w:rPr>
          <w:sz w:val="24"/>
          <w:szCs w:val="24"/>
        </w:rPr>
        <w:t>.1</w:t>
      </w:r>
      <w:r w:rsidR="00FD32C0">
        <w:rPr>
          <w:sz w:val="24"/>
          <w:szCs w:val="24"/>
        </w:rPr>
        <w:t>7</w:t>
      </w:r>
      <w:r w:rsidR="0034797F" w:rsidRPr="007E5AD9">
        <w:rPr>
          <w:sz w:val="24"/>
          <w:szCs w:val="24"/>
        </w:rPr>
        <w:t xml:space="preserve"> billion</w:t>
      </w:r>
      <w:r w:rsidRPr="007E5AD9">
        <w:rPr>
          <w:sz w:val="24"/>
          <w:szCs w:val="24"/>
        </w:rPr>
        <w:t xml:space="preserve">, up </w:t>
      </w:r>
      <w:r w:rsidR="00D245AE" w:rsidRPr="00D245AE">
        <w:rPr>
          <w:sz w:val="24"/>
          <w:szCs w:val="24"/>
        </w:rPr>
        <w:t>1,673</w:t>
      </w:r>
      <w:r w:rsidR="00D245AE">
        <w:rPr>
          <w:sz w:val="24"/>
          <w:szCs w:val="24"/>
        </w:rPr>
        <w:t>.</w:t>
      </w:r>
      <w:r w:rsidR="00D245AE" w:rsidRPr="00D245AE">
        <w:rPr>
          <w:sz w:val="24"/>
          <w:szCs w:val="24"/>
        </w:rPr>
        <w:t>90</w:t>
      </w:r>
      <w:r w:rsidRPr="007E5AD9">
        <w:rPr>
          <w:sz w:val="24"/>
          <w:szCs w:val="24"/>
        </w:rPr>
        <w:t xml:space="preserve"> billion or </w:t>
      </w:r>
      <w:r w:rsidR="00D245AE" w:rsidRPr="00D245AE">
        <w:rPr>
          <w:sz w:val="24"/>
          <w:szCs w:val="24"/>
        </w:rPr>
        <w:t>6.58</w:t>
      </w:r>
      <w:r w:rsidRPr="007E5AD9">
        <w:rPr>
          <w:sz w:val="24"/>
          <w:szCs w:val="24"/>
        </w:rPr>
        <w:t xml:space="preserve">% from the end of 2019. Liabilities totaled </w:t>
      </w:r>
      <w:r w:rsidR="00D245AE" w:rsidRPr="00D245AE">
        <w:rPr>
          <w:sz w:val="24"/>
          <w:szCs w:val="24"/>
        </w:rPr>
        <w:t>24,775</w:t>
      </w:r>
      <w:r w:rsidR="00D245AE">
        <w:rPr>
          <w:sz w:val="24"/>
          <w:szCs w:val="24"/>
        </w:rPr>
        <w:t>.</w:t>
      </w:r>
      <w:r w:rsidR="00D245AE" w:rsidRPr="00D245AE">
        <w:rPr>
          <w:sz w:val="24"/>
          <w:szCs w:val="24"/>
        </w:rPr>
        <w:t xml:space="preserve">11 </w:t>
      </w:r>
      <w:r w:rsidRPr="007E5AD9">
        <w:rPr>
          <w:sz w:val="24"/>
          <w:szCs w:val="24"/>
        </w:rPr>
        <w:t xml:space="preserve">billion, up </w:t>
      </w:r>
      <w:r w:rsidR="00D245AE" w:rsidRPr="00D245AE">
        <w:rPr>
          <w:sz w:val="24"/>
          <w:szCs w:val="24"/>
        </w:rPr>
        <w:t>1,573</w:t>
      </w:r>
      <w:r w:rsidR="00D245AE">
        <w:rPr>
          <w:sz w:val="24"/>
          <w:szCs w:val="24"/>
        </w:rPr>
        <w:t>.</w:t>
      </w:r>
      <w:r w:rsidR="00D245AE" w:rsidRPr="00D245AE">
        <w:rPr>
          <w:sz w:val="24"/>
          <w:szCs w:val="24"/>
        </w:rPr>
        <w:t>9</w:t>
      </w:r>
      <w:r w:rsidR="00FD32C0">
        <w:rPr>
          <w:sz w:val="24"/>
          <w:szCs w:val="24"/>
        </w:rPr>
        <w:t>8</w:t>
      </w:r>
      <w:r w:rsidRPr="007E5AD9">
        <w:rPr>
          <w:sz w:val="24"/>
          <w:szCs w:val="24"/>
        </w:rPr>
        <w:t xml:space="preserve"> billion or </w:t>
      </w:r>
      <w:r w:rsidR="00D245AE" w:rsidRPr="00D245AE">
        <w:rPr>
          <w:sz w:val="24"/>
          <w:szCs w:val="24"/>
        </w:rPr>
        <w:t>6.78</w:t>
      </w:r>
      <w:r w:rsidRPr="007E5AD9">
        <w:rPr>
          <w:sz w:val="24"/>
          <w:szCs w:val="24"/>
        </w:rPr>
        <w:t xml:space="preserve">% from the end of 2019. Loans and advances totaled </w:t>
      </w:r>
      <w:r w:rsidR="00D245AE" w:rsidRPr="00D245AE">
        <w:rPr>
          <w:sz w:val="24"/>
          <w:szCs w:val="24"/>
        </w:rPr>
        <w:t>15,983</w:t>
      </w:r>
      <w:r w:rsidR="00D245AE">
        <w:rPr>
          <w:sz w:val="24"/>
          <w:szCs w:val="24"/>
        </w:rPr>
        <w:t>.</w:t>
      </w:r>
      <w:r w:rsidR="00D245AE" w:rsidRPr="00D245AE">
        <w:rPr>
          <w:sz w:val="24"/>
          <w:szCs w:val="24"/>
        </w:rPr>
        <w:t xml:space="preserve">31 </w:t>
      </w:r>
      <w:r w:rsidRPr="007E5AD9">
        <w:rPr>
          <w:sz w:val="24"/>
          <w:szCs w:val="24"/>
        </w:rPr>
        <w:t xml:space="preserve">billion, an increase of </w:t>
      </w:r>
      <w:r w:rsidR="00D245AE" w:rsidRPr="00D245AE">
        <w:rPr>
          <w:sz w:val="24"/>
          <w:szCs w:val="24"/>
        </w:rPr>
        <w:t>960</w:t>
      </w:r>
      <w:r w:rsidR="00FD32C0">
        <w:rPr>
          <w:sz w:val="24"/>
          <w:szCs w:val="24"/>
        </w:rPr>
        <w:t>.</w:t>
      </w:r>
      <w:r w:rsidR="00D245AE" w:rsidRPr="00D245AE">
        <w:rPr>
          <w:sz w:val="24"/>
          <w:szCs w:val="24"/>
        </w:rPr>
        <w:t>4</w:t>
      </w:r>
      <w:r w:rsidR="00FD32C0">
        <w:rPr>
          <w:sz w:val="24"/>
          <w:szCs w:val="24"/>
        </w:rPr>
        <w:t>9</w:t>
      </w:r>
      <w:r w:rsidRPr="007E5AD9">
        <w:rPr>
          <w:sz w:val="24"/>
          <w:szCs w:val="24"/>
        </w:rPr>
        <w:t xml:space="preserve"> billion or </w:t>
      </w:r>
      <w:r w:rsidR="00D245AE" w:rsidRPr="00D245AE">
        <w:rPr>
          <w:sz w:val="24"/>
          <w:szCs w:val="24"/>
        </w:rPr>
        <w:t>6.39</w:t>
      </w:r>
      <w:r w:rsidRPr="007E5AD9">
        <w:rPr>
          <w:sz w:val="24"/>
          <w:szCs w:val="24"/>
        </w:rPr>
        <w:t xml:space="preserve">% from the end of 2019. Deposits totaled </w:t>
      </w:r>
      <w:r w:rsidR="00D245AE" w:rsidRPr="00D245AE">
        <w:rPr>
          <w:sz w:val="24"/>
          <w:szCs w:val="24"/>
        </w:rPr>
        <w:t>19,706</w:t>
      </w:r>
      <w:r w:rsidR="00D245AE">
        <w:rPr>
          <w:sz w:val="24"/>
          <w:szCs w:val="24"/>
        </w:rPr>
        <w:t>.</w:t>
      </w:r>
      <w:r w:rsidR="00D245AE" w:rsidRPr="00D245AE">
        <w:rPr>
          <w:sz w:val="24"/>
          <w:szCs w:val="24"/>
        </w:rPr>
        <w:t>79</w:t>
      </w:r>
      <w:r w:rsidRPr="007E5AD9">
        <w:rPr>
          <w:sz w:val="24"/>
          <w:szCs w:val="24"/>
        </w:rPr>
        <w:t xml:space="preserve"> billion, an increase of </w:t>
      </w:r>
      <w:r w:rsidR="00D245AE" w:rsidRPr="00D245AE">
        <w:rPr>
          <w:sz w:val="24"/>
          <w:szCs w:val="24"/>
        </w:rPr>
        <w:t>1,340</w:t>
      </w:r>
      <w:r w:rsidR="00D245AE">
        <w:rPr>
          <w:sz w:val="24"/>
          <w:szCs w:val="24"/>
        </w:rPr>
        <w:t>.</w:t>
      </w:r>
      <w:r w:rsidR="00D245AE" w:rsidRPr="00D245AE">
        <w:rPr>
          <w:sz w:val="24"/>
          <w:szCs w:val="24"/>
        </w:rPr>
        <w:t>50</w:t>
      </w:r>
      <w:r w:rsidRPr="007E5AD9">
        <w:rPr>
          <w:sz w:val="24"/>
          <w:szCs w:val="24"/>
        </w:rPr>
        <w:t xml:space="preserve"> billion or </w:t>
      </w:r>
      <w:r w:rsidR="00D245AE" w:rsidRPr="00D245AE">
        <w:rPr>
          <w:sz w:val="24"/>
          <w:szCs w:val="24"/>
        </w:rPr>
        <w:t>7.3</w:t>
      </w:r>
      <w:r w:rsidR="00D245AE">
        <w:rPr>
          <w:sz w:val="24"/>
          <w:szCs w:val="24"/>
        </w:rPr>
        <w:t>0</w:t>
      </w:r>
      <w:r w:rsidRPr="007E5AD9">
        <w:rPr>
          <w:sz w:val="24"/>
          <w:szCs w:val="24"/>
        </w:rPr>
        <w:t>% from the end of 2019.</w:t>
      </w:r>
    </w:p>
    <w:p w14:paraId="62873202" w14:textId="77777777" w:rsidR="007E5AD9" w:rsidRPr="007E5AD9" w:rsidRDefault="007E5AD9" w:rsidP="007E5AD9">
      <w:pPr>
        <w:spacing w:line="300" w:lineRule="exact"/>
        <w:ind w:firstLineChars="200" w:firstLine="480"/>
        <w:jc w:val="both"/>
        <w:rPr>
          <w:sz w:val="24"/>
          <w:szCs w:val="24"/>
        </w:rPr>
      </w:pPr>
    </w:p>
    <w:p w14:paraId="13D28D6F" w14:textId="64574D40" w:rsidR="007E5AD9" w:rsidRDefault="007E5AD9" w:rsidP="007E5AD9">
      <w:pPr>
        <w:spacing w:line="300" w:lineRule="exact"/>
        <w:ind w:firstLineChars="200" w:firstLine="480"/>
        <w:jc w:val="both"/>
        <w:rPr>
          <w:sz w:val="24"/>
          <w:szCs w:val="24"/>
        </w:rPr>
      </w:pPr>
      <w:r w:rsidRPr="007E5AD9">
        <w:rPr>
          <w:sz w:val="24"/>
          <w:szCs w:val="24"/>
        </w:rPr>
        <w:t xml:space="preserve">CCB recorded a net profit of </w:t>
      </w:r>
      <w:r w:rsidR="00D245AE" w:rsidRPr="00D245AE">
        <w:rPr>
          <w:sz w:val="24"/>
          <w:szCs w:val="24"/>
        </w:rPr>
        <w:t>80</w:t>
      </w:r>
      <w:r w:rsidR="00D245AE">
        <w:rPr>
          <w:sz w:val="24"/>
          <w:szCs w:val="24"/>
        </w:rPr>
        <w:t>.</w:t>
      </w:r>
      <w:r w:rsidR="00D245AE" w:rsidRPr="00D245AE">
        <w:rPr>
          <w:sz w:val="24"/>
          <w:szCs w:val="24"/>
        </w:rPr>
        <w:t>98</w:t>
      </w:r>
      <w:r w:rsidR="00D245AE">
        <w:rPr>
          <w:sz w:val="24"/>
          <w:szCs w:val="24"/>
        </w:rPr>
        <w:t xml:space="preserve"> </w:t>
      </w:r>
      <w:r w:rsidRPr="007E5AD9">
        <w:rPr>
          <w:sz w:val="24"/>
          <w:szCs w:val="24"/>
        </w:rPr>
        <w:t xml:space="preserve">billion, of which the net profit attributable to shareholders was </w:t>
      </w:r>
      <w:r w:rsidR="00D245AE" w:rsidRPr="00D245AE">
        <w:rPr>
          <w:sz w:val="24"/>
          <w:szCs w:val="24"/>
        </w:rPr>
        <w:t>80</w:t>
      </w:r>
      <w:r w:rsidR="00FD32C0">
        <w:rPr>
          <w:sz w:val="24"/>
          <w:szCs w:val="24"/>
        </w:rPr>
        <w:t>.</w:t>
      </w:r>
      <w:r w:rsidR="00D245AE" w:rsidRPr="00D245AE">
        <w:rPr>
          <w:sz w:val="24"/>
          <w:szCs w:val="24"/>
        </w:rPr>
        <w:t>8</w:t>
      </w:r>
      <w:r w:rsidR="00FD32C0">
        <w:rPr>
          <w:sz w:val="24"/>
          <w:szCs w:val="24"/>
        </w:rPr>
        <w:t>6</w:t>
      </w:r>
      <w:r w:rsidRPr="007E5AD9">
        <w:rPr>
          <w:sz w:val="24"/>
          <w:szCs w:val="24"/>
        </w:rPr>
        <w:t xml:space="preserve"> billion, up by </w:t>
      </w:r>
      <w:r w:rsidR="00D245AE" w:rsidRPr="00D245AE">
        <w:rPr>
          <w:sz w:val="24"/>
          <w:szCs w:val="24"/>
        </w:rPr>
        <w:t>3.92</w:t>
      </w:r>
      <w:r w:rsidRPr="007E5AD9">
        <w:rPr>
          <w:sz w:val="24"/>
          <w:szCs w:val="24"/>
        </w:rPr>
        <w:t xml:space="preserve">% and </w:t>
      </w:r>
      <w:r w:rsidR="00D245AE" w:rsidRPr="00D245AE">
        <w:rPr>
          <w:sz w:val="24"/>
          <w:szCs w:val="24"/>
        </w:rPr>
        <w:t>5.12</w:t>
      </w:r>
      <w:r w:rsidRPr="007E5AD9">
        <w:rPr>
          <w:sz w:val="24"/>
          <w:szCs w:val="24"/>
        </w:rPr>
        <w:t xml:space="preserve">% year-on-year, respectively. </w:t>
      </w:r>
      <w:r w:rsidR="00D245AE" w:rsidRPr="00401172">
        <w:rPr>
          <w:sz w:val="24"/>
          <w:szCs w:val="24"/>
          <w:highlight w:val="yellow"/>
        </w:rPr>
        <w:t xml:space="preserve">Annualised return on average assets </w:t>
      </w:r>
      <w:r w:rsidRPr="00401172">
        <w:rPr>
          <w:sz w:val="24"/>
          <w:szCs w:val="24"/>
          <w:highlight w:val="yellow"/>
        </w:rPr>
        <w:t xml:space="preserve">was </w:t>
      </w:r>
      <w:r w:rsidR="00D245AE" w:rsidRPr="00401172">
        <w:rPr>
          <w:sz w:val="24"/>
          <w:szCs w:val="24"/>
          <w:highlight w:val="yellow"/>
        </w:rPr>
        <w:t>1.23</w:t>
      </w:r>
      <w:r w:rsidRPr="00401172">
        <w:rPr>
          <w:sz w:val="24"/>
          <w:szCs w:val="24"/>
          <w:highlight w:val="yellow"/>
        </w:rPr>
        <w:t xml:space="preserve">% and </w:t>
      </w:r>
      <w:r w:rsidR="00D245AE" w:rsidRPr="00401172">
        <w:rPr>
          <w:sz w:val="24"/>
          <w:szCs w:val="24"/>
          <w:highlight w:val="yellow"/>
        </w:rPr>
        <w:t xml:space="preserve">annualised return on average equity </w:t>
      </w:r>
      <w:r w:rsidRPr="00401172">
        <w:rPr>
          <w:sz w:val="24"/>
          <w:szCs w:val="24"/>
          <w:highlight w:val="yellow"/>
        </w:rPr>
        <w:t xml:space="preserve">was </w:t>
      </w:r>
      <w:r w:rsidR="00D245AE" w:rsidRPr="00401172">
        <w:rPr>
          <w:sz w:val="24"/>
          <w:szCs w:val="24"/>
          <w:highlight w:val="yellow"/>
        </w:rPr>
        <w:t>15.09</w:t>
      </w:r>
      <w:r w:rsidRPr="00401172">
        <w:rPr>
          <w:sz w:val="24"/>
          <w:szCs w:val="24"/>
          <w:highlight w:val="yellow"/>
        </w:rPr>
        <w:t>%.</w:t>
      </w:r>
      <w:r w:rsidRPr="007E5AD9">
        <w:rPr>
          <w:sz w:val="24"/>
          <w:szCs w:val="24"/>
        </w:rPr>
        <w:t xml:space="preserve"> </w:t>
      </w:r>
    </w:p>
    <w:p w14:paraId="60BC8CE2" w14:textId="77777777" w:rsidR="007E5AD9" w:rsidRPr="007E5AD9" w:rsidRDefault="007E5AD9" w:rsidP="007E5AD9">
      <w:pPr>
        <w:spacing w:line="300" w:lineRule="exact"/>
        <w:ind w:firstLineChars="200" w:firstLine="480"/>
        <w:jc w:val="both"/>
        <w:rPr>
          <w:sz w:val="24"/>
          <w:szCs w:val="24"/>
        </w:rPr>
      </w:pPr>
    </w:p>
    <w:p w14:paraId="0F888BBB" w14:textId="360C0987" w:rsidR="007E5AD9" w:rsidRDefault="007E5AD9" w:rsidP="007E5AD9">
      <w:pPr>
        <w:spacing w:line="300" w:lineRule="exact"/>
        <w:ind w:firstLineChars="200" w:firstLine="480"/>
        <w:jc w:val="both"/>
        <w:rPr>
          <w:sz w:val="24"/>
          <w:szCs w:val="24"/>
        </w:rPr>
      </w:pPr>
      <w:r w:rsidRPr="007E5AD9">
        <w:rPr>
          <w:sz w:val="24"/>
          <w:szCs w:val="24"/>
        </w:rPr>
        <w:t xml:space="preserve">As deposits and loans grew steadily, CCB’s net fee and commission income reached </w:t>
      </w:r>
      <w:r w:rsidR="00411A85" w:rsidRPr="00411A85">
        <w:rPr>
          <w:sz w:val="24"/>
          <w:szCs w:val="24"/>
        </w:rPr>
        <w:t>45</w:t>
      </w:r>
      <w:r w:rsidR="00411A85">
        <w:rPr>
          <w:sz w:val="24"/>
          <w:szCs w:val="24"/>
        </w:rPr>
        <w:t>.</w:t>
      </w:r>
      <w:r w:rsidR="00411A85" w:rsidRPr="00411A85">
        <w:rPr>
          <w:sz w:val="24"/>
          <w:szCs w:val="24"/>
        </w:rPr>
        <w:t>3</w:t>
      </w:r>
      <w:r w:rsidR="00FD32C0">
        <w:rPr>
          <w:sz w:val="24"/>
          <w:szCs w:val="24"/>
        </w:rPr>
        <w:t>8</w:t>
      </w:r>
      <w:r w:rsidR="00411A85">
        <w:rPr>
          <w:sz w:val="24"/>
          <w:szCs w:val="24"/>
        </w:rPr>
        <w:t xml:space="preserve"> </w:t>
      </w:r>
      <w:r w:rsidRPr="007E5AD9">
        <w:rPr>
          <w:sz w:val="24"/>
          <w:szCs w:val="24"/>
        </w:rPr>
        <w:t xml:space="preserve">billion, an increase of </w:t>
      </w:r>
      <w:r w:rsidR="00411A85" w:rsidRPr="00411A85">
        <w:rPr>
          <w:sz w:val="24"/>
          <w:szCs w:val="24"/>
        </w:rPr>
        <w:t>5.45</w:t>
      </w:r>
      <w:r w:rsidRPr="007E5AD9">
        <w:rPr>
          <w:sz w:val="24"/>
          <w:szCs w:val="24"/>
        </w:rPr>
        <w:t>% year-on-year.</w:t>
      </w:r>
    </w:p>
    <w:p w14:paraId="08FAF0B9" w14:textId="77777777" w:rsidR="007E5AD9" w:rsidRPr="007E5AD9" w:rsidRDefault="007E5AD9" w:rsidP="007E5AD9">
      <w:pPr>
        <w:spacing w:line="300" w:lineRule="exact"/>
        <w:ind w:firstLineChars="200" w:firstLine="480"/>
        <w:jc w:val="both"/>
        <w:rPr>
          <w:sz w:val="24"/>
          <w:szCs w:val="24"/>
        </w:rPr>
      </w:pPr>
    </w:p>
    <w:p w14:paraId="04654573" w14:textId="06D64C40" w:rsidR="007E5AD9" w:rsidRDefault="007E5AD9" w:rsidP="007E5AD9">
      <w:pPr>
        <w:spacing w:line="300" w:lineRule="exact"/>
        <w:ind w:firstLineChars="200" w:firstLine="480"/>
        <w:jc w:val="both"/>
        <w:rPr>
          <w:sz w:val="24"/>
          <w:szCs w:val="24"/>
        </w:rPr>
      </w:pPr>
      <w:r w:rsidRPr="007E5AD9">
        <w:rPr>
          <w:sz w:val="24"/>
          <w:szCs w:val="24"/>
        </w:rPr>
        <w:t xml:space="preserve">Continuously leveraging the advantages of the “new-generation” core system and big data, CCB developed a modern bank risk control system based on the principles of comprehensive and proactive management, in order to enhance its risk prevention and </w:t>
      </w:r>
      <w:r w:rsidRPr="007E5AD9">
        <w:rPr>
          <w:sz w:val="24"/>
          <w:szCs w:val="24"/>
        </w:rPr>
        <w:lastRenderedPageBreak/>
        <w:t xml:space="preserve">control performance. As of March 31, 2020, the non-performing loan balance was </w:t>
      </w:r>
      <w:r w:rsidR="00DE2E60" w:rsidRPr="00DE2E60">
        <w:rPr>
          <w:sz w:val="24"/>
          <w:szCs w:val="24"/>
        </w:rPr>
        <w:t>226</w:t>
      </w:r>
      <w:r w:rsidR="00DE2E60">
        <w:rPr>
          <w:sz w:val="24"/>
          <w:szCs w:val="24"/>
        </w:rPr>
        <w:t>.</w:t>
      </w:r>
      <w:r w:rsidR="00DE2E60" w:rsidRPr="00DE2E60">
        <w:rPr>
          <w:sz w:val="24"/>
          <w:szCs w:val="24"/>
        </w:rPr>
        <w:t>01</w:t>
      </w:r>
      <w:r w:rsidRPr="007E5AD9">
        <w:rPr>
          <w:sz w:val="24"/>
          <w:szCs w:val="24"/>
        </w:rPr>
        <w:t xml:space="preserve"> billion, and the non-performing loan ratio was </w:t>
      </w:r>
      <w:r w:rsidR="00DE2E60" w:rsidRPr="00DE2E60">
        <w:rPr>
          <w:sz w:val="24"/>
          <w:szCs w:val="24"/>
        </w:rPr>
        <w:t>1.42</w:t>
      </w:r>
      <w:r w:rsidRPr="007E5AD9">
        <w:rPr>
          <w:sz w:val="24"/>
          <w:szCs w:val="24"/>
        </w:rPr>
        <w:t xml:space="preserve">%, almost at the same level as at the end of 2019. Provision coverage was </w:t>
      </w:r>
      <w:r w:rsidR="00DE2E60" w:rsidRPr="00DE2E60">
        <w:rPr>
          <w:sz w:val="24"/>
          <w:szCs w:val="24"/>
        </w:rPr>
        <w:t xml:space="preserve">230.27 </w:t>
      </w:r>
      <w:r w:rsidRPr="007E5AD9">
        <w:rPr>
          <w:sz w:val="24"/>
          <w:szCs w:val="24"/>
        </w:rPr>
        <w:t xml:space="preserve">%, up </w:t>
      </w:r>
      <w:r w:rsidR="00DE2E60" w:rsidRPr="00DE2E60">
        <w:rPr>
          <w:sz w:val="24"/>
          <w:szCs w:val="24"/>
        </w:rPr>
        <w:t>2.58</w:t>
      </w:r>
      <w:r w:rsidRPr="007E5AD9">
        <w:rPr>
          <w:sz w:val="24"/>
          <w:szCs w:val="24"/>
        </w:rPr>
        <w:t xml:space="preserve"> percentage points from the end of 2019.</w:t>
      </w:r>
    </w:p>
    <w:p w14:paraId="5823421C" w14:textId="77777777" w:rsidR="007E5AD9" w:rsidRPr="007E5AD9" w:rsidRDefault="007E5AD9" w:rsidP="007E5AD9">
      <w:pPr>
        <w:spacing w:line="300" w:lineRule="exact"/>
        <w:ind w:firstLineChars="200" w:firstLine="480"/>
        <w:jc w:val="both"/>
        <w:rPr>
          <w:sz w:val="24"/>
          <w:szCs w:val="24"/>
        </w:rPr>
      </w:pPr>
    </w:p>
    <w:p w14:paraId="3C260F50" w14:textId="6637DC4F" w:rsidR="007E5AD9" w:rsidRDefault="007E5AD9" w:rsidP="007E5AD9">
      <w:pPr>
        <w:spacing w:line="300" w:lineRule="exact"/>
        <w:ind w:firstLineChars="200" w:firstLine="480"/>
        <w:jc w:val="both"/>
        <w:rPr>
          <w:sz w:val="24"/>
          <w:szCs w:val="24"/>
        </w:rPr>
      </w:pPr>
      <w:r w:rsidRPr="007E5AD9">
        <w:rPr>
          <w:sz w:val="24"/>
          <w:szCs w:val="24"/>
        </w:rPr>
        <w:t xml:space="preserve">As of March 31, 2020, CCB's capital adequacy ratio was </w:t>
      </w:r>
      <w:r w:rsidR="00DE2E60" w:rsidRPr="00DE2E60">
        <w:rPr>
          <w:sz w:val="24"/>
          <w:szCs w:val="24"/>
        </w:rPr>
        <w:t>17.22</w:t>
      </w:r>
      <w:r w:rsidRPr="007E5AD9">
        <w:rPr>
          <w:sz w:val="24"/>
          <w:szCs w:val="24"/>
        </w:rPr>
        <w:t xml:space="preserve">%, measured according to the Measures for the Capital Management of Commercial Banks (For Trial Implementation). Specifically, the Tier 1 ratio was </w:t>
      </w:r>
      <w:r w:rsidR="00DE2E60" w:rsidRPr="00DE2E60">
        <w:rPr>
          <w:sz w:val="24"/>
          <w:szCs w:val="24"/>
        </w:rPr>
        <w:t>14.50</w:t>
      </w:r>
      <w:r w:rsidRPr="007E5AD9">
        <w:rPr>
          <w:sz w:val="24"/>
          <w:szCs w:val="24"/>
        </w:rPr>
        <w:t xml:space="preserve">% and the Core Tier 1 ratio was </w:t>
      </w:r>
      <w:r w:rsidR="00DE2E60" w:rsidRPr="00DE2E60">
        <w:rPr>
          <w:sz w:val="24"/>
          <w:szCs w:val="24"/>
        </w:rPr>
        <w:t>13.75</w:t>
      </w:r>
      <w:r w:rsidRPr="007E5AD9">
        <w:rPr>
          <w:sz w:val="24"/>
          <w:szCs w:val="24"/>
        </w:rPr>
        <w:t xml:space="preserve">%, both conforming to regulatory requirements. </w:t>
      </w:r>
    </w:p>
    <w:p w14:paraId="7180B1FC" w14:textId="77777777" w:rsidR="007E5AD9" w:rsidRPr="007E5AD9" w:rsidRDefault="007E5AD9" w:rsidP="007E5AD9">
      <w:pPr>
        <w:spacing w:line="300" w:lineRule="exact"/>
        <w:ind w:firstLineChars="200" w:firstLine="480"/>
        <w:jc w:val="both"/>
        <w:rPr>
          <w:sz w:val="24"/>
          <w:szCs w:val="24"/>
        </w:rPr>
      </w:pPr>
    </w:p>
    <w:p w14:paraId="1B26554B" w14:textId="7138F792" w:rsidR="007E5AD9" w:rsidRDefault="007E5AD9" w:rsidP="007E5AD9">
      <w:pPr>
        <w:spacing w:line="300" w:lineRule="exact"/>
        <w:ind w:firstLineChars="200" w:firstLine="480"/>
        <w:jc w:val="both"/>
        <w:rPr>
          <w:sz w:val="24"/>
          <w:szCs w:val="24"/>
        </w:rPr>
      </w:pPr>
      <w:r w:rsidRPr="007E5AD9">
        <w:rPr>
          <w:sz w:val="24"/>
          <w:szCs w:val="24"/>
        </w:rPr>
        <w:t xml:space="preserve">In the first quarter of 2020, the spread of the novel coronavirus (COVID-19) accelerated across the world, and had a major impact on the global economy and finance. In China, the banking sector is faced with increasing uncertainties in its operations. CCB has bravely taken on this external challenge, earnestly assuming its responsibility as one of the leading banks in the country, working hard to support the epidemic prevention and control and to assist in the country’s overall social and economic development. CCB has offered targeted and effective financial support for the resumption of work and production, leveraged the results of “Three Strategies” in a more intensive manner, and explored innovative models and approaches to secure results. </w:t>
      </w:r>
    </w:p>
    <w:p w14:paraId="317E92F4" w14:textId="77777777" w:rsidR="007E5AD9" w:rsidRPr="007E5AD9" w:rsidRDefault="007E5AD9" w:rsidP="007E5AD9">
      <w:pPr>
        <w:spacing w:line="300" w:lineRule="exact"/>
        <w:ind w:firstLineChars="200" w:firstLine="480"/>
        <w:jc w:val="both"/>
        <w:rPr>
          <w:sz w:val="24"/>
          <w:szCs w:val="24"/>
        </w:rPr>
      </w:pPr>
    </w:p>
    <w:p w14:paraId="28A2E0EF" w14:textId="408A333B" w:rsidR="007E5AD9" w:rsidRDefault="007E5AD9" w:rsidP="007E5AD9">
      <w:pPr>
        <w:spacing w:line="300" w:lineRule="exact"/>
        <w:ind w:firstLineChars="200" w:firstLine="480"/>
        <w:jc w:val="both"/>
        <w:rPr>
          <w:sz w:val="24"/>
          <w:szCs w:val="24"/>
        </w:rPr>
      </w:pPr>
      <w:r w:rsidRPr="007E5AD9">
        <w:rPr>
          <w:sz w:val="24"/>
          <w:szCs w:val="24"/>
        </w:rPr>
        <w:t>CCB first adopted a practical and meticulous approach to the prevention and control of the pandemic, effectively handling</w:t>
      </w:r>
      <w:r w:rsidR="00FD32C0">
        <w:rPr>
          <w:sz w:val="24"/>
          <w:szCs w:val="24"/>
        </w:rPr>
        <w:t xml:space="preserve"> </w:t>
      </w:r>
      <w:r w:rsidRPr="007E5AD9">
        <w:rPr>
          <w:sz w:val="24"/>
          <w:szCs w:val="24"/>
        </w:rPr>
        <w:t>related</w:t>
      </w:r>
      <w:r w:rsidR="00FD32C0">
        <w:rPr>
          <w:sz w:val="24"/>
          <w:szCs w:val="24"/>
        </w:rPr>
        <w:t xml:space="preserve"> </w:t>
      </w:r>
      <w:r w:rsidRPr="007E5AD9">
        <w:rPr>
          <w:sz w:val="24"/>
          <w:szCs w:val="24"/>
        </w:rPr>
        <w:t xml:space="preserve">operations of its branches in China and abroad by strengthening ties across the border, establishing an overall plan, while putting measures in place for all employees and their families in order to ensure the safety of people, operations and liquidity. CCB then expanded credit supply and leveraged the Central Bank’s specific relending fund to support the fight against the pandemic. In Q1, CCB issued a total of 96.9 billion in loans for domestic enterprises involved in pandemic prevention and control. In addition, CCB conducted a prudent assessment of the pandemic’s impact on its operations and asset quality, completed targeted risk and capital stress testing, strengthened delicacy management, enhanced its active risk prevention and control performance, and improved its sustainability and risk-resistance capacity by expanding market, tapping potentials, increasing revenues and reducing expenses, as well as improving quality and efficiency. CCB also provided more vigorous financial support for important areas related to pandemic prevention and control, formulated 30 measures intended to further sustain efforts in pandemic prevention and control and the resumption of work and production, giving strong impetus to the comprehensive resumption and development of the real economy by opening the green channel of financial services, developing innovative financial services, and implementing relevant policies in a targeted way to mitigate the difficulties faced by enterprises, while at the same time, playing the role of market “stabilizer” and policy “conductor”. CCB placed equal emphasis on pandemic prevention and control as well as alleviating poverty, aligned its operations with the requirements of the Party Central Committee, took precise, targeted and differentiated measures, and made greater efforts to promote sustainable models such as supporting </w:t>
      </w:r>
      <w:r w:rsidRPr="007E5AD9">
        <w:rPr>
          <w:sz w:val="24"/>
          <w:szCs w:val="24"/>
        </w:rPr>
        <w:lastRenderedPageBreak/>
        <w:t xml:space="preserve">the development of competitive industries, encouraging consumption, providing better healthcare and improving education to ensure tangible poverty alleviation actions and poverty elimination results and to complete the poverty alleviation tasks according to the required deadline and level of quality. </w:t>
      </w:r>
    </w:p>
    <w:p w14:paraId="09C094FC" w14:textId="77777777" w:rsidR="007E5AD9" w:rsidRPr="007E5AD9" w:rsidRDefault="007E5AD9" w:rsidP="007E5AD9">
      <w:pPr>
        <w:spacing w:line="300" w:lineRule="exact"/>
        <w:ind w:firstLineChars="200" w:firstLine="480"/>
        <w:jc w:val="both"/>
        <w:rPr>
          <w:sz w:val="24"/>
          <w:szCs w:val="24"/>
        </w:rPr>
      </w:pPr>
    </w:p>
    <w:p w14:paraId="7C61127C" w14:textId="01EA7CC2" w:rsidR="00F858E2" w:rsidRPr="003577A0" w:rsidRDefault="007E5AD9" w:rsidP="007E5AD9">
      <w:pPr>
        <w:spacing w:line="300" w:lineRule="exact"/>
        <w:ind w:firstLineChars="200" w:firstLine="480"/>
        <w:jc w:val="both"/>
        <w:rPr>
          <w:rFonts w:eastAsia="彩虹粗仿宋"/>
          <w:sz w:val="24"/>
          <w:szCs w:val="24"/>
        </w:rPr>
      </w:pPr>
      <w:r w:rsidRPr="007E5AD9">
        <w:rPr>
          <w:sz w:val="24"/>
          <w:szCs w:val="24"/>
        </w:rPr>
        <w:t>When the pandemic rapidly spread outside China, CCB immediately introduced overseas emergency aid, purchased and donated anti-epidemic medical supplies to foreign countries, kept track of the requirements of foreign government departments and medical service institutions for anti-pandemic medical supplies, and established a cross-border matchmaking platform to support timely and accurate exports by domestic enterprises and anti-epidemic operations in foreign countries and regions. As of April 23, 2020, CCB has donated 1</w:t>
      </w:r>
      <w:r w:rsidR="0034797F">
        <w:rPr>
          <w:sz w:val="24"/>
          <w:szCs w:val="24"/>
        </w:rPr>
        <w:t>.</w:t>
      </w:r>
      <w:r w:rsidRPr="007E5AD9">
        <w:rPr>
          <w:sz w:val="24"/>
          <w:szCs w:val="24"/>
        </w:rPr>
        <w:t>63 million pieces of anti-epidemic medical supplies valued at over RMB 35 million to 22 countries and regions. CCB will scientifically evaluate the economic downward pressure and the adverse business effects arising from the pandemic, closely monitor the development of the pandemic and the changes to macro-economic policies, continuously promote delicacy management, boost business development in an orderly manner, prepare for the worst-case scenarios, and support efforts to prevent and control the pandemic, and resume work and production. In adopting the critical and worst-case scenario mentality and prioritizing stability, CCB has seized every possible opportunity, and strived to achieve high-quality development. CCB has been guided by “Six Stabilities” and “Six Guarantees” (guarantee the basic people’s livelihood, guarantee market entity, guarantee safety of grain and energy resources, guarantee stability of industry chain and supply chain, and guarantee sound operation at community level) in offering financial solutions to address pain points and difficulties in social and economic development during the outbreak. In addition, CCB continued its strong financial support for consumption subsidies, renovation of old urban residential communities, and traditional and new infrastructure construction and housing leases. CCB also fostered rapid economic recovery by improving and implementing relevant plans more effectively and providing targeted services to ensure the “Six Stabilities ” and consolidate the “Six Guarantees”.</w:t>
      </w:r>
    </w:p>
    <w:p w14:paraId="1F12CE56" w14:textId="77777777" w:rsidR="00391F8B" w:rsidRPr="00470D30" w:rsidRDefault="00391F8B" w:rsidP="00B629CB">
      <w:pPr>
        <w:spacing w:line="360" w:lineRule="exact"/>
        <w:jc w:val="both"/>
        <w:rPr>
          <w:rFonts w:eastAsia="彩虹粗仿宋"/>
          <w:sz w:val="24"/>
          <w:szCs w:val="24"/>
        </w:rPr>
      </w:pPr>
    </w:p>
    <w:p w14:paraId="3196B552" w14:textId="77777777" w:rsidR="003C6C26" w:rsidRPr="00470D30" w:rsidRDefault="003C6C26" w:rsidP="00B629CB">
      <w:pPr>
        <w:jc w:val="both"/>
      </w:pPr>
    </w:p>
    <w:sectPr w:rsidR="003C6C26" w:rsidRPr="00470D30" w:rsidSect="00C524D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170" w:left="1800" w:header="851" w:footer="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05658" w14:textId="77777777" w:rsidR="00AC33DB" w:rsidRDefault="00AC33DB" w:rsidP="005C5D4D">
      <w:r>
        <w:separator/>
      </w:r>
    </w:p>
  </w:endnote>
  <w:endnote w:type="continuationSeparator" w:id="0">
    <w:p w14:paraId="6BDAEEA8" w14:textId="77777777" w:rsidR="00AC33DB" w:rsidRDefault="00AC33DB" w:rsidP="005C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Kaiti">
    <w:altName w:val="STKaiti"/>
    <w:charset w:val="86"/>
    <w:family w:val="auto"/>
    <w:pitch w:val="variable"/>
    <w:sig w:usb0="00000287" w:usb1="080F0000" w:usb2="00000010" w:usb3="00000000" w:csb0="0004009F" w:csb1="00000000"/>
  </w:font>
  <w:font w:name="彩虹黑体">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彩虹小标宋">
    <w:altName w:val="Microsoft YaHei"/>
    <w:charset w:val="86"/>
    <w:family w:val="script"/>
    <w:pitch w:val="fixed"/>
    <w:sig w:usb0="00000001" w:usb1="080E0000" w:usb2="00000010" w:usb3="00000000" w:csb0="00040000" w:csb1="00000000"/>
  </w:font>
  <w:font w:name="彩虹粗仿宋">
    <w:altName w:val="Microsoft YaHe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CCE98" w14:textId="77777777" w:rsidR="00401172" w:rsidRDefault="00401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4887761"/>
      <w:docPartObj>
        <w:docPartGallery w:val="Page Numbers (Bottom of Page)"/>
        <w:docPartUnique/>
      </w:docPartObj>
    </w:sdtPr>
    <w:sdtEndPr/>
    <w:sdtContent>
      <w:p w14:paraId="30264E10" w14:textId="315E6BEE" w:rsidR="000D30CC" w:rsidRDefault="000D30CC">
        <w:pPr>
          <w:pStyle w:val="Footer"/>
          <w:jc w:val="center"/>
        </w:pPr>
        <w:r w:rsidRPr="00F25260">
          <w:rPr>
            <w:rFonts w:ascii="Arial" w:hAnsi="Arial" w:cs="Arial"/>
          </w:rPr>
          <w:fldChar w:fldCharType="begin"/>
        </w:r>
        <w:r w:rsidRPr="00F25260">
          <w:rPr>
            <w:rFonts w:ascii="Arial" w:hAnsi="Arial" w:cs="Arial"/>
          </w:rPr>
          <w:instrText>PAGE   \* MERGEFORMAT</w:instrText>
        </w:r>
        <w:r w:rsidRPr="00F25260">
          <w:rPr>
            <w:rFonts w:ascii="Arial" w:hAnsi="Arial" w:cs="Arial"/>
          </w:rPr>
          <w:fldChar w:fldCharType="separate"/>
        </w:r>
        <w:r w:rsidR="00791263" w:rsidRPr="00791263">
          <w:rPr>
            <w:rFonts w:ascii="Arial" w:hAnsi="Arial" w:cs="Arial"/>
            <w:noProof/>
            <w:lang w:val="zh-CN" w:eastAsia="zh-CN"/>
          </w:rPr>
          <w:t>4</w:t>
        </w:r>
        <w:r w:rsidRPr="00F25260">
          <w:rPr>
            <w:rFonts w:ascii="Arial" w:hAnsi="Arial" w:cs="Arial"/>
          </w:rPr>
          <w:fldChar w:fldCharType="end"/>
        </w:r>
      </w:p>
    </w:sdtContent>
  </w:sdt>
  <w:p w14:paraId="488D9799" w14:textId="77777777" w:rsidR="000D30CC" w:rsidRDefault="000D30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5DE47" w14:textId="77777777" w:rsidR="00401172" w:rsidRDefault="00401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DEF37" w14:textId="77777777" w:rsidR="00AC33DB" w:rsidRDefault="00AC33DB" w:rsidP="005C5D4D">
      <w:r>
        <w:separator/>
      </w:r>
    </w:p>
  </w:footnote>
  <w:footnote w:type="continuationSeparator" w:id="0">
    <w:p w14:paraId="46925334" w14:textId="77777777" w:rsidR="00AC33DB" w:rsidRDefault="00AC33DB" w:rsidP="005C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A10A" w14:textId="77777777" w:rsidR="00401172" w:rsidRDefault="00401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9449" w14:textId="77777777" w:rsidR="000D30CC" w:rsidRDefault="000D30CC" w:rsidP="003D3277">
    <w:pPr>
      <w:jc w:val="right"/>
    </w:pPr>
    <w:r w:rsidRPr="003D3277">
      <w:rPr>
        <w:noProof/>
        <w:lang w:val="en-US" w:eastAsia="zh-CN"/>
      </w:rPr>
      <w:drawing>
        <wp:inline distT="0" distB="0" distL="0" distR="0" wp14:anchorId="6040C535" wp14:editId="2FDA6C94">
          <wp:extent cx="2324100" cy="790575"/>
          <wp:effectExtent l="0" t="0" r="0" b="9525"/>
          <wp:docPr id="5"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865D" w14:textId="77777777" w:rsidR="00401172" w:rsidRDefault="00401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F4C37"/>
    <w:multiLevelType w:val="hybridMultilevel"/>
    <w:tmpl w:val="5C466A76"/>
    <w:lvl w:ilvl="0" w:tplc="FFFFFFFF">
      <w:start w:val="1"/>
      <w:numFmt w:val="bullet"/>
      <w:pStyle w:val="ListBullet"/>
      <w:lvlText w:val=""/>
      <w:lvlJc w:val="left"/>
      <w:pPr>
        <w:tabs>
          <w:tab w:val="num" w:pos="5557"/>
        </w:tabs>
        <w:ind w:left="5557" w:hanging="454"/>
      </w:pPr>
      <w:rPr>
        <w:rFonts w:ascii="Symbol" w:hAnsi="Symbol" w:hint="default"/>
        <w:color w:val="auto"/>
        <w:sz w:val="22"/>
        <w:szCs w:val="22"/>
      </w:rPr>
    </w:lvl>
    <w:lvl w:ilvl="1" w:tplc="FFFFFFFF">
      <w:start w:val="1"/>
      <w:numFmt w:val="bullet"/>
      <w:lvlText w:val=""/>
      <w:lvlJc w:val="left"/>
      <w:pPr>
        <w:tabs>
          <w:tab w:val="num" w:pos="5443"/>
        </w:tabs>
        <w:ind w:left="5443" w:hanging="340"/>
      </w:pPr>
      <w:rPr>
        <w:rFonts w:ascii="Symbol" w:hAnsi="Symbol" w:hint="default"/>
        <w:color w:val="auto"/>
        <w:sz w:val="22"/>
        <w:szCs w:val="22"/>
      </w:rPr>
    </w:lvl>
    <w:lvl w:ilvl="2" w:tplc="FFFFFFFF">
      <w:start w:val="1"/>
      <w:numFmt w:val="bullet"/>
      <w:lvlText w:val=""/>
      <w:lvlJc w:val="left"/>
      <w:pPr>
        <w:tabs>
          <w:tab w:val="num" w:pos="7263"/>
        </w:tabs>
        <w:ind w:left="7263" w:hanging="360"/>
      </w:pPr>
      <w:rPr>
        <w:rFonts w:ascii="Wingdings" w:hAnsi="Wingdings" w:hint="default"/>
      </w:rPr>
    </w:lvl>
    <w:lvl w:ilvl="3" w:tplc="FFFFFFFF" w:tentative="1">
      <w:start w:val="1"/>
      <w:numFmt w:val="bullet"/>
      <w:lvlText w:val=""/>
      <w:lvlJc w:val="left"/>
      <w:pPr>
        <w:tabs>
          <w:tab w:val="num" w:pos="7983"/>
        </w:tabs>
        <w:ind w:left="7983" w:hanging="360"/>
      </w:pPr>
      <w:rPr>
        <w:rFonts w:ascii="Symbol" w:hAnsi="Symbol" w:hint="default"/>
      </w:rPr>
    </w:lvl>
    <w:lvl w:ilvl="4" w:tplc="FFFFFFFF" w:tentative="1">
      <w:start w:val="1"/>
      <w:numFmt w:val="bullet"/>
      <w:lvlText w:val="o"/>
      <w:lvlJc w:val="left"/>
      <w:pPr>
        <w:tabs>
          <w:tab w:val="num" w:pos="8703"/>
        </w:tabs>
        <w:ind w:left="8703" w:hanging="360"/>
      </w:pPr>
      <w:rPr>
        <w:rFonts w:ascii="Courier New" w:hAnsi="Courier New" w:hint="default"/>
      </w:rPr>
    </w:lvl>
    <w:lvl w:ilvl="5" w:tplc="FFFFFFFF" w:tentative="1">
      <w:start w:val="1"/>
      <w:numFmt w:val="bullet"/>
      <w:lvlText w:val=""/>
      <w:lvlJc w:val="left"/>
      <w:pPr>
        <w:tabs>
          <w:tab w:val="num" w:pos="9423"/>
        </w:tabs>
        <w:ind w:left="9423" w:hanging="360"/>
      </w:pPr>
      <w:rPr>
        <w:rFonts w:ascii="Wingdings" w:hAnsi="Wingdings" w:hint="default"/>
      </w:rPr>
    </w:lvl>
    <w:lvl w:ilvl="6" w:tplc="FFFFFFFF" w:tentative="1">
      <w:start w:val="1"/>
      <w:numFmt w:val="bullet"/>
      <w:lvlText w:val=""/>
      <w:lvlJc w:val="left"/>
      <w:pPr>
        <w:tabs>
          <w:tab w:val="num" w:pos="10143"/>
        </w:tabs>
        <w:ind w:left="10143" w:hanging="360"/>
      </w:pPr>
      <w:rPr>
        <w:rFonts w:ascii="Symbol" w:hAnsi="Symbol" w:hint="default"/>
      </w:rPr>
    </w:lvl>
    <w:lvl w:ilvl="7" w:tplc="FFFFFFFF" w:tentative="1">
      <w:start w:val="1"/>
      <w:numFmt w:val="bullet"/>
      <w:lvlText w:val="o"/>
      <w:lvlJc w:val="left"/>
      <w:pPr>
        <w:tabs>
          <w:tab w:val="num" w:pos="10863"/>
        </w:tabs>
        <w:ind w:left="10863" w:hanging="360"/>
      </w:pPr>
      <w:rPr>
        <w:rFonts w:ascii="Courier New" w:hAnsi="Courier New" w:hint="default"/>
      </w:rPr>
    </w:lvl>
    <w:lvl w:ilvl="8" w:tplc="FFFFFFFF" w:tentative="1">
      <w:start w:val="1"/>
      <w:numFmt w:val="bullet"/>
      <w:lvlText w:val=""/>
      <w:lvlJc w:val="left"/>
      <w:pPr>
        <w:tabs>
          <w:tab w:val="num" w:pos="11583"/>
        </w:tabs>
        <w:ind w:left="11583" w:hanging="360"/>
      </w:pPr>
      <w:rPr>
        <w:rFonts w:ascii="Wingdings" w:hAnsi="Wingdings" w:hint="default"/>
      </w:rPr>
    </w:lvl>
  </w:abstractNum>
  <w:abstractNum w:abstractNumId="1" w15:restartNumberingAfterBreak="0">
    <w:nsid w:val="563C0086"/>
    <w:multiLevelType w:val="hybridMultilevel"/>
    <w:tmpl w:val="B9DA9538"/>
    <w:lvl w:ilvl="0" w:tplc="2900316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62AE0485"/>
    <w:multiLevelType w:val="hybridMultilevel"/>
    <w:tmpl w:val="49246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084"/>
    <w:rsid w:val="00003FE3"/>
    <w:rsid w:val="0000540D"/>
    <w:rsid w:val="000064E0"/>
    <w:rsid w:val="000112F8"/>
    <w:rsid w:val="00011D55"/>
    <w:rsid w:val="00012DB2"/>
    <w:rsid w:val="0002051A"/>
    <w:rsid w:val="00026DB8"/>
    <w:rsid w:val="00030610"/>
    <w:rsid w:val="0003464D"/>
    <w:rsid w:val="000354DA"/>
    <w:rsid w:val="00036ADD"/>
    <w:rsid w:val="00040236"/>
    <w:rsid w:val="00040D93"/>
    <w:rsid w:val="000420AA"/>
    <w:rsid w:val="00045B2A"/>
    <w:rsid w:val="00053186"/>
    <w:rsid w:val="0005415B"/>
    <w:rsid w:val="000543C0"/>
    <w:rsid w:val="00057ECA"/>
    <w:rsid w:val="00060F38"/>
    <w:rsid w:val="00061166"/>
    <w:rsid w:val="00061F09"/>
    <w:rsid w:val="00064658"/>
    <w:rsid w:val="000649EE"/>
    <w:rsid w:val="00065F0C"/>
    <w:rsid w:val="00070707"/>
    <w:rsid w:val="00071ABA"/>
    <w:rsid w:val="00075309"/>
    <w:rsid w:val="00076331"/>
    <w:rsid w:val="00080F3E"/>
    <w:rsid w:val="00081D0B"/>
    <w:rsid w:val="00082874"/>
    <w:rsid w:val="00084766"/>
    <w:rsid w:val="00087ADE"/>
    <w:rsid w:val="00090432"/>
    <w:rsid w:val="0009220C"/>
    <w:rsid w:val="000A6A6F"/>
    <w:rsid w:val="000B0355"/>
    <w:rsid w:val="000B106E"/>
    <w:rsid w:val="000B4B0D"/>
    <w:rsid w:val="000B6535"/>
    <w:rsid w:val="000D08E0"/>
    <w:rsid w:val="000D30CC"/>
    <w:rsid w:val="000D4923"/>
    <w:rsid w:val="000D5CD0"/>
    <w:rsid w:val="000E5006"/>
    <w:rsid w:val="000E5C4B"/>
    <w:rsid w:val="000F040A"/>
    <w:rsid w:val="000F1248"/>
    <w:rsid w:val="000F16D0"/>
    <w:rsid w:val="000F5F7D"/>
    <w:rsid w:val="000F6AC4"/>
    <w:rsid w:val="001005A3"/>
    <w:rsid w:val="00105FE8"/>
    <w:rsid w:val="0011143B"/>
    <w:rsid w:val="001264FD"/>
    <w:rsid w:val="001267C1"/>
    <w:rsid w:val="0012743A"/>
    <w:rsid w:val="00133903"/>
    <w:rsid w:val="001368E2"/>
    <w:rsid w:val="00140590"/>
    <w:rsid w:val="00150EB6"/>
    <w:rsid w:val="00160AF7"/>
    <w:rsid w:val="001629D4"/>
    <w:rsid w:val="00184AD4"/>
    <w:rsid w:val="00184E19"/>
    <w:rsid w:val="00192582"/>
    <w:rsid w:val="0019394C"/>
    <w:rsid w:val="001A432F"/>
    <w:rsid w:val="001B2CBA"/>
    <w:rsid w:val="001B2FC0"/>
    <w:rsid w:val="001B4169"/>
    <w:rsid w:val="001B6F20"/>
    <w:rsid w:val="001C0577"/>
    <w:rsid w:val="001C1B5C"/>
    <w:rsid w:val="001C51E3"/>
    <w:rsid w:val="001D2170"/>
    <w:rsid w:val="001D4C17"/>
    <w:rsid w:val="001D5E00"/>
    <w:rsid w:val="001E04EE"/>
    <w:rsid w:val="001F0CD0"/>
    <w:rsid w:val="001F17F8"/>
    <w:rsid w:val="001F272B"/>
    <w:rsid w:val="001F5029"/>
    <w:rsid w:val="001F6422"/>
    <w:rsid w:val="001F6FDD"/>
    <w:rsid w:val="00200395"/>
    <w:rsid w:val="00204B53"/>
    <w:rsid w:val="00204EF7"/>
    <w:rsid w:val="002121BE"/>
    <w:rsid w:val="00212F10"/>
    <w:rsid w:val="002153DD"/>
    <w:rsid w:val="00223945"/>
    <w:rsid w:val="0022488F"/>
    <w:rsid w:val="00226EBD"/>
    <w:rsid w:val="002276B9"/>
    <w:rsid w:val="002336A2"/>
    <w:rsid w:val="00236F22"/>
    <w:rsid w:val="00240FB4"/>
    <w:rsid w:val="00253F18"/>
    <w:rsid w:val="0025504A"/>
    <w:rsid w:val="002603BA"/>
    <w:rsid w:val="002622E4"/>
    <w:rsid w:val="002625EF"/>
    <w:rsid w:val="00262F63"/>
    <w:rsid w:val="00263287"/>
    <w:rsid w:val="00264665"/>
    <w:rsid w:val="00267A39"/>
    <w:rsid w:val="00272B21"/>
    <w:rsid w:val="0027312E"/>
    <w:rsid w:val="00274DC4"/>
    <w:rsid w:val="00276246"/>
    <w:rsid w:val="00276E45"/>
    <w:rsid w:val="002801D5"/>
    <w:rsid w:val="00280F78"/>
    <w:rsid w:val="002867A2"/>
    <w:rsid w:val="00290AB7"/>
    <w:rsid w:val="0029341B"/>
    <w:rsid w:val="00294F5B"/>
    <w:rsid w:val="002A6AE4"/>
    <w:rsid w:val="002A7553"/>
    <w:rsid w:val="002B256D"/>
    <w:rsid w:val="002C2F6F"/>
    <w:rsid w:val="002D163A"/>
    <w:rsid w:val="002D186D"/>
    <w:rsid w:val="002D7EF0"/>
    <w:rsid w:val="002E07F4"/>
    <w:rsid w:val="002E2C0D"/>
    <w:rsid w:val="002F62F9"/>
    <w:rsid w:val="0030061F"/>
    <w:rsid w:val="00302EF2"/>
    <w:rsid w:val="00303BB3"/>
    <w:rsid w:val="003047C3"/>
    <w:rsid w:val="00305B61"/>
    <w:rsid w:val="003104DE"/>
    <w:rsid w:val="00321CB6"/>
    <w:rsid w:val="00321F03"/>
    <w:rsid w:val="0032483E"/>
    <w:rsid w:val="00332352"/>
    <w:rsid w:val="00333760"/>
    <w:rsid w:val="00334E40"/>
    <w:rsid w:val="0033654C"/>
    <w:rsid w:val="00343F3C"/>
    <w:rsid w:val="003459B4"/>
    <w:rsid w:val="0034797F"/>
    <w:rsid w:val="00351A44"/>
    <w:rsid w:val="00354143"/>
    <w:rsid w:val="00354C0F"/>
    <w:rsid w:val="003561AA"/>
    <w:rsid w:val="00363CFA"/>
    <w:rsid w:val="003645D4"/>
    <w:rsid w:val="00366543"/>
    <w:rsid w:val="00367DEB"/>
    <w:rsid w:val="003705FB"/>
    <w:rsid w:val="003722BA"/>
    <w:rsid w:val="003724ED"/>
    <w:rsid w:val="00376ADB"/>
    <w:rsid w:val="00377548"/>
    <w:rsid w:val="00382964"/>
    <w:rsid w:val="00382FD0"/>
    <w:rsid w:val="00382FE3"/>
    <w:rsid w:val="003865AF"/>
    <w:rsid w:val="00386D3D"/>
    <w:rsid w:val="003903FC"/>
    <w:rsid w:val="00391F8B"/>
    <w:rsid w:val="00395C17"/>
    <w:rsid w:val="003A2E4F"/>
    <w:rsid w:val="003A3940"/>
    <w:rsid w:val="003A51A6"/>
    <w:rsid w:val="003B053B"/>
    <w:rsid w:val="003B0A35"/>
    <w:rsid w:val="003B1DF5"/>
    <w:rsid w:val="003B525B"/>
    <w:rsid w:val="003B61A8"/>
    <w:rsid w:val="003C0CD3"/>
    <w:rsid w:val="003C1483"/>
    <w:rsid w:val="003C4AB4"/>
    <w:rsid w:val="003C67DB"/>
    <w:rsid w:val="003C6C26"/>
    <w:rsid w:val="003C7A7D"/>
    <w:rsid w:val="003D3277"/>
    <w:rsid w:val="003D52FC"/>
    <w:rsid w:val="003E32A5"/>
    <w:rsid w:val="003F259F"/>
    <w:rsid w:val="003F26D9"/>
    <w:rsid w:val="003F3784"/>
    <w:rsid w:val="003F3ED6"/>
    <w:rsid w:val="003F60D0"/>
    <w:rsid w:val="003F642A"/>
    <w:rsid w:val="00401172"/>
    <w:rsid w:val="00404D47"/>
    <w:rsid w:val="00411A85"/>
    <w:rsid w:val="00416C4A"/>
    <w:rsid w:val="00426961"/>
    <w:rsid w:val="004278A4"/>
    <w:rsid w:val="00441754"/>
    <w:rsid w:val="004424CF"/>
    <w:rsid w:val="00444386"/>
    <w:rsid w:val="00457AD6"/>
    <w:rsid w:val="00462C8E"/>
    <w:rsid w:val="00464BA4"/>
    <w:rsid w:val="00465BDE"/>
    <w:rsid w:val="00470B35"/>
    <w:rsid w:val="00470D30"/>
    <w:rsid w:val="004717E3"/>
    <w:rsid w:val="004757BC"/>
    <w:rsid w:val="00475831"/>
    <w:rsid w:val="00482B2F"/>
    <w:rsid w:val="00483B18"/>
    <w:rsid w:val="00484F09"/>
    <w:rsid w:val="00485CFA"/>
    <w:rsid w:val="00486D26"/>
    <w:rsid w:val="004A2E9D"/>
    <w:rsid w:val="004A51CE"/>
    <w:rsid w:val="004A5B3F"/>
    <w:rsid w:val="004A7D7D"/>
    <w:rsid w:val="004B6DC8"/>
    <w:rsid w:val="004C1647"/>
    <w:rsid w:val="004E2B82"/>
    <w:rsid w:val="004E6B9E"/>
    <w:rsid w:val="004E764E"/>
    <w:rsid w:val="004F392D"/>
    <w:rsid w:val="0050621B"/>
    <w:rsid w:val="005106B8"/>
    <w:rsid w:val="00510E68"/>
    <w:rsid w:val="005127A2"/>
    <w:rsid w:val="00512F36"/>
    <w:rsid w:val="00516381"/>
    <w:rsid w:val="005169FD"/>
    <w:rsid w:val="005175B8"/>
    <w:rsid w:val="00521638"/>
    <w:rsid w:val="00523EF2"/>
    <w:rsid w:val="005249FF"/>
    <w:rsid w:val="005339AE"/>
    <w:rsid w:val="005401D8"/>
    <w:rsid w:val="005406B7"/>
    <w:rsid w:val="0054165D"/>
    <w:rsid w:val="00544EFF"/>
    <w:rsid w:val="00560B8D"/>
    <w:rsid w:val="00562264"/>
    <w:rsid w:val="00563356"/>
    <w:rsid w:val="005702DD"/>
    <w:rsid w:val="00575A6D"/>
    <w:rsid w:val="00580F6C"/>
    <w:rsid w:val="00591C5B"/>
    <w:rsid w:val="005924BD"/>
    <w:rsid w:val="00592E29"/>
    <w:rsid w:val="005947EC"/>
    <w:rsid w:val="00595751"/>
    <w:rsid w:val="005A2DB0"/>
    <w:rsid w:val="005A44BC"/>
    <w:rsid w:val="005A62B9"/>
    <w:rsid w:val="005B2ECA"/>
    <w:rsid w:val="005B449D"/>
    <w:rsid w:val="005B58B8"/>
    <w:rsid w:val="005B5EDE"/>
    <w:rsid w:val="005B6EFF"/>
    <w:rsid w:val="005C0FAC"/>
    <w:rsid w:val="005C1FEE"/>
    <w:rsid w:val="005C5D4D"/>
    <w:rsid w:val="005D112A"/>
    <w:rsid w:val="005D546D"/>
    <w:rsid w:val="005D647C"/>
    <w:rsid w:val="005E5954"/>
    <w:rsid w:val="005F1D19"/>
    <w:rsid w:val="005F73F1"/>
    <w:rsid w:val="0060541F"/>
    <w:rsid w:val="00606C60"/>
    <w:rsid w:val="00620DFF"/>
    <w:rsid w:val="00622EAD"/>
    <w:rsid w:val="00625C10"/>
    <w:rsid w:val="006272FB"/>
    <w:rsid w:val="006363DD"/>
    <w:rsid w:val="0064081B"/>
    <w:rsid w:val="00640CDE"/>
    <w:rsid w:val="00640F2D"/>
    <w:rsid w:val="0064195F"/>
    <w:rsid w:val="00641DD3"/>
    <w:rsid w:val="0064303E"/>
    <w:rsid w:val="00651BC2"/>
    <w:rsid w:val="00653C79"/>
    <w:rsid w:val="00655107"/>
    <w:rsid w:val="006577B3"/>
    <w:rsid w:val="00657CAF"/>
    <w:rsid w:val="00664EC4"/>
    <w:rsid w:val="006671C4"/>
    <w:rsid w:val="006673D3"/>
    <w:rsid w:val="0067457A"/>
    <w:rsid w:val="006808DD"/>
    <w:rsid w:val="0068202E"/>
    <w:rsid w:val="00683A44"/>
    <w:rsid w:val="00685417"/>
    <w:rsid w:val="006866EE"/>
    <w:rsid w:val="006A7E8C"/>
    <w:rsid w:val="006B087C"/>
    <w:rsid w:val="006B37CD"/>
    <w:rsid w:val="006B4D8F"/>
    <w:rsid w:val="006B7D5B"/>
    <w:rsid w:val="006B7EE8"/>
    <w:rsid w:val="006C596D"/>
    <w:rsid w:val="006C72A4"/>
    <w:rsid w:val="006D0754"/>
    <w:rsid w:val="006D323D"/>
    <w:rsid w:val="006D6CE7"/>
    <w:rsid w:val="006E5400"/>
    <w:rsid w:val="006E5F5C"/>
    <w:rsid w:val="006F0B87"/>
    <w:rsid w:val="006F42D8"/>
    <w:rsid w:val="006F5A19"/>
    <w:rsid w:val="006F694B"/>
    <w:rsid w:val="007044B8"/>
    <w:rsid w:val="007048DC"/>
    <w:rsid w:val="00706C99"/>
    <w:rsid w:val="00713FE0"/>
    <w:rsid w:val="00715ABB"/>
    <w:rsid w:val="00715F3D"/>
    <w:rsid w:val="007254B6"/>
    <w:rsid w:val="0072701C"/>
    <w:rsid w:val="00730798"/>
    <w:rsid w:val="007311D0"/>
    <w:rsid w:val="007336C5"/>
    <w:rsid w:val="00734231"/>
    <w:rsid w:val="007359AB"/>
    <w:rsid w:val="00736FE0"/>
    <w:rsid w:val="00737020"/>
    <w:rsid w:val="00747427"/>
    <w:rsid w:val="00747912"/>
    <w:rsid w:val="007531BF"/>
    <w:rsid w:val="00753DAC"/>
    <w:rsid w:val="00756EA8"/>
    <w:rsid w:val="00767E0F"/>
    <w:rsid w:val="00775763"/>
    <w:rsid w:val="00775A17"/>
    <w:rsid w:val="00776A1C"/>
    <w:rsid w:val="007775F8"/>
    <w:rsid w:val="007842A3"/>
    <w:rsid w:val="0078567F"/>
    <w:rsid w:val="00791263"/>
    <w:rsid w:val="007937A5"/>
    <w:rsid w:val="007958C1"/>
    <w:rsid w:val="007A1FA2"/>
    <w:rsid w:val="007A23C7"/>
    <w:rsid w:val="007B28F4"/>
    <w:rsid w:val="007B3719"/>
    <w:rsid w:val="007B3FF5"/>
    <w:rsid w:val="007B4265"/>
    <w:rsid w:val="007C0E92"/>
    <w:rsid w:val="007C22E8"/>
    <w:rsid w:val="007C3712"/>
    <w:rsid w:val="007D0DF9"/>
    <w:rsid w:val="007D6A22"/>
    <w:rsid w:val="007D7D7E"/>
    <w:rsid w:val="007E0001"/>
    <w:rsid w:val="007E0C65"/>
    <w:rsid w:val="007E382D"/>
    <w:rsid w:val="007E3E97"/>
    <w:rsid w:val="007E55EE"/>
    <w:rsid w:val="007E5AD9"/>
    <w:rsid w:val="007F14FA"/>
    <w:rsid w:val="007F4C73"/>
    <w:rsid w:val="007F5008"/>
    <w:rsid w:val="00805EDB"/>
    <w:rsid w:val="008101EE"/>
    <w:rsid w:val="00811BCD"/>
    <w:rsid w:val="00816F59"/>
    <w:rsid w:val="00822F9C"/>
    <w:rsid w:val="008255B7"/>
    <w:rsid w:val="00830087"/>
    <w:rsid w:val="0083032A"/>
    <w:rsid w:val="0083057A"/>
    <w:rsid w:val="00830817"/>
    <w:rsid w:val="0083082A"/>
    <w:rsid w:val="00830D7C"/>
    <w:rsid w:val="00831ED7"/>
    <w:rsid w:val="00836526"/>
    <w:rsid w:val="00836E06"/>
    <w:rsid w:val="00861A05"/>
    <w:rsid w:val="00863A99"/>
    <w:rsid w:val="008740C3"/>
    <w:rsid w:val="0087679F"/>
    <w:rsid w:val="0088251B"/>
    <w:rsid w:val="00882756"/>
    <w:rsid w:val="008829F0"/>
    <w:rsid w:val="00890A44"/>
    <w:rsid w:val="0089323F"/>
    <w:rsid w:val="0089565F"/>
    <w:rsid w:val="008A16F2"/>
    <w:rsid w:val="008A67D2"/>
    <w:rsid w:val="008B3DC8"/>
    <w:rsid w:val="008B610B"/>
    <w:rsid w:val="008B6B77"/>
    <w:rsid w:val="008C19E4"/>
    <w:rsid w:val="008C1B6D"/>
    <w:rsid w:val="008C281C"/>
    <w:rsid w:val="008C5865"/>
    <w:rsid w:val="008C5F9A"/>
    <w:rsid w:val="008D1FC0"/>
    <w:rsid w:val="008D2D02"/>
    <w:rsid w:val="008D6D96"/>
    <w:rsid w:val="008E19A1"/>
    <w:rsid w:val="008E61B2"/>
    <w:rsid w:val="008E65DD"/>
    <w:rsid w:val="008F0458"/>
    <w:rsid w:val="008F3A6F"/>
    <w:rsid w:val="008F4033"/>
    <w:rsid w:val="008F7AF6"/>
    <w:rsid w:val="00905A73"/>
    <w:rsid w:val="00907680"/>
    <w:rsid w:val="00907740"/>
    <w:rsid w:val="009124BC"/>
    <w:rsid w:val="00923C99"/>
    <w:rsid w:val="00924850"/>
    <w:rsid w:val="00924CAD"/>
    <w:rsid w:val="00927B9A"/>
    <w:rsid w:val="00930148"/>
    <w:rsid w:val="009322DF"/>
    <w:rsid w:val="00932740"/>
    <w:rsid w:val="00934796"/>
    <w:rsid w:val="00936A14"/>
    <w:rsid w:val="00936C46"/>
    <w:rsid w:val="00947C36"/>
    <w:rsid w:val="0095717E"/>
    <w:rsid w:val="009577FF"/>
    <w:rsid w:val="0096190F"/>
    <w:rsid w:val="00962094"/>
    <w:rsid w:val="00962CD4"/>
    <w:rsid w:val="00963B28"/>
    <w:rsid w:val="009667B5"/>
    <w:rsid w:val="0097176D"/>
    <w:rsid w:val="009717B1"/>
    <w:rsid w:val="00973317"/>
    <w:rsid w:val="0098054F"/>
    <w:rsid w:val="0098202D"/>
    <w:rsid w:val="009A2706"/>
    <w:rsid w:val="009A7DB5"/>
    <w:rsid w:val="009B543F"/>
    <w:rsid w:val="009B74D6"/>
    <w:rsid w:val="009C05B0"/>
    <w:rsid w:val="009C0E61"/>
    <w:rsid w:val="009C39D7"/>
    <w:rsid w:val="009C68A2"/>
    <w:rsid w:val="009D0705"/>
    <w:rsid w:val="009D2007"/>
    <w:rsid w:val="009D3681"/>
    <w:rsid w:val="009D5506"/>
    <w:rsid w:val="009E4084"/>
    <w:rsid w:val="009E4727"/>
    <w:rsid w:val="009F086E"/>
    <w:rsid w:val="009F2211"/>
    <w:rsid w:val="009F23E5"/>
    <w:rsid w:val="009F2A48"/>
    <w:rsid w:val="009F4604"/>
    <w:rsid w:val="009F4FBF"/>
    <w:rsid w:val="009F542C"/>
    <w:rsid w:val="009F6D8A"/>
    <w:rsid w:val="00A03FD1"/>
    <w:rsid w:val="00A126DA"/>
    <w:rsid w:val="00A13019"/>
    <w:rsid w:val="00A13A51"/>
    <w:rsid w:val="00A13BE8"/>
    <w:rsid w:val="00A16BD0"/>
    <w:rsid w:val="00A272B1"/>
    <w:rsid w:val="00A3348D"/>
    <w:rsid w:val="00A35FAE"/>
    <w:rsid w:val="00A3684D"/>
    <w:rsid w:val="00A36B6D"/>
    <w:rsid w:val="00A44A6E"/>
    <w:rsid w:val="00A4753A"/>
    <w:rsid w:val="00A5184D"/>
    <w:rsid w:val="00A55318"/>
    <w:rsid w:val="00A56265"/>
    <w:rsid w:val="00A65EE9"/>
    <w:rsid w:val="00A6682D"/>
    <w:rsid w:val="00A72AB9"/>
    <w:rsid w:val="00A72C87"/>
    <w:rsid w:val="00A75C7E"/>
    <w:rsid w:val="00A760FB"/>
    <w:rsid w:val="00A82B33"/>
    <w:rsid w:val="00A858F6"/>
    <w:rsid w:val="00A85B07"/>
    <w:rsid w:val="00A8651A"/>
    <w:rsid w:val="00A87AEB"/>
    <w:rsid w:val="00A92B88"/>
    <w:rsid w:val="00A94ACF"/>
    <w:rsid w:val="00AA0454"/>
    <w:rsid w:val="00AA452C"/>
    <w:rsid w:val="00AA66D6"/>
    <w:rsid w:val="00AB0283"/>
    <w:rsid w:val="00AB10DC"/>
    <w:rsid w:val="00AB192B"/>
    <w:rsid w:val="00AB210E"/>
    <w:rsid w:val="00AB47DA"/>
    <w:rsid w:val="00AC1E12"/>
    <w:rsid w:val="00AC1E2C"/>
    <w:rsid w:val="00AC33DB"/>
    <w:rsid w:val="00AC7471"/>
    <w:rsid w:val="00AD00C9"/>
    <w:rsid w:val="00AD324B"/>
    <w:rsid w:val="00AD6088"/>
    <w:rsid w:val="00AE0722"/>
    <w:rsid w:val="00AE2C35"/>
    <w:rsid w:val="00AF587F"/>
    <w:rsid w:val="00AF608C"/>
    <w:rsid w:val="00AF6AD5"/>
    <w:rsid w:val="00AF7229"/>
    <w:rsid w:val="00B005A7"/>
    <w:rsid w:val="00B059B8"/>
    <w:rsid w:val="00B13352"/>
    <w:rsid w:val="00B1537F"/>
    <w:rsid w:val="00B22ABD"/>
    <w:rsid w:val="00B24412"/>
    <w:rsid w:val="00B250C4"/>
    <w:rsid w:val="00B262CB"/>
    <w:rsid w:val="00B27C2F"/>
    <w:rsid w:val="00B31113"/>
    <w:rsid w:val="00B3188B"/>
    <w:rsid w:val="00B37945"/>
    <w:rsid w:val="00B416D2"/>
    <w:rsid w:val="00B41F59"/>
    <w:rsid w:val="00B440B4"/>
    <w:rsid w:val="00B51218"/>
    <w:rsid w:val="00B52F25"/>
    <w:rsid w:val="00B5766A"/>
    <w:rsid w:val="00B620BD"/>
    <w:rsid w:val="00B629CB"/>
    <w:rsid w:val="00B6680A"/>
    <w:rsid w:val="00B86E69"/>
    <w:rsid w:val="00B87220"/>
    <w:rsid w:val="00B93C51"/>
    <w:rsid w:val="00B9657D"/>
    <w:rsid w:val="00B97CD8"/>
    <w:rsid w:val="00BA1F0B"/>
    <w:rsid w:val="00BA6D06"/>
    <w:rsid w:val="00BB0C16"/>
    <w:rsid w:val="00BB1321"/>
    <w:rsid w:val="00BB1825"/>
    <w:rsid w:val="00BB2543"/>
    <w:rsid w:val="00BB3A9F"/>
    <w:rsid w:val="00BB48ED"/>
    <w:rsid w:val="00BB7464"/>
    <w:rsid w:val="00BC1BB1"/>
    <w:rsid w:val="00BC7674"/>
    <w:rsid w:val="00BC7C56"/>
    <w:rsid w:val="00BE3163"/>
    <w:rsid w:val="00BE6C42"/>
    <w:rsid w:val="00BF0459"/>
    <w:rsid w:val="00BF0638"/>
    <w:rsid w:val="00BF6679"/>
    <w:rsid w:val="00BF7B4F"/>
    <w:rsid w:val="00C033CE"/>
    <w:rsid w:val="00C0492C"/>
    <w:rsid w:val="00C05C37"/>
    <w:rsid w:val="00C125BA"/>
    <w:rsid w:val="00C14691"/>
    <w:rsid w:val="00C14916"/>
    <w:rsid w:val="00C14BE1"/>
    <w:rsid w:val="00C16A02"/>
    <w:rsid w:val="00C2092A"/>
    <w:rsid w:val="00C23BAC"/>
    <w:rsid w:val="00C25623"/>
    <w:rsid w:val="00C279E1"/>
    <w:rsid w:val="00C27A52"/>
    <w:rsid w:val="00C27C51"/>
    <w:rsid w:val="00C30E63"/>
    <w:rsid w:val="00C31D44"/>
    <w:rsid w:val="00C320AC"/>
    <w:rsid w:val="00C32CCB"/>
    <w:rsid w:val="00C400B6"/>
    <w:rsid w:val="00C4065A"/>
    <w:rsid w:val="00C4183D"/>
    <w:rsid w:val="00C42A2E"/>
    <w:rsid w:val="00C50555"/>
    <w:rsid w:val="00C524DC"/>
    <w:rsid w:val="00C54644"/>
    <w:rsid w:val="00C54788"/>
    <w:rsid w:val="00C62963"/>
    <w:rsid w:val="00C66D01"/>
    <w:rsid w:val="00C73E00"/>
    <w:rsid w:val="00C8172E"/>
    <w:rsid w:val="00C86CDB"/>
    <w:rsid w:val="00C86DA7"/>
    <w:rsid w:val="00C9086F"/>
    <w:rsid w:val="00C9168D"/>
    <w:rsid w:val="00C96482"/>
    <w:rsid w:val="00C97AFA"/>
    <w:rsid w:val="00CA6039"/>
    <w:rsid w:val="00CA75B3"/>
    <w:rsid w:val="00CB3C02"/>
    <w:rsid w:val="00CC02E5"/>
    <w:rsid w:val="00CC17D4"/>
    <w:rsid w:val="00CC3557"/>
    <w:rsid w:val="00CC3933"/>
    <w:rsid w:val="00CD05D2"/>
    <w:rsid w:val="00CD32DD"/>
    <w:rsid w:val="00CD36B2"/>
    <w:rsid w:val="00CD47F0"/>
    <w:rsid w:val="00CD4B1F"/>
    <w:rsid w:val="00CD5005"/>
    <w:rsid w:val="00CD7DC7"/>
    <w:rsid w:val="00CE0ABE"/>
    <w:rsid w:val="00CE4D28"/>
    <w:rsid w:val="00CE74C8"/>
    <w:rsid w:val="00CE759D"/>
    <w:rsid w:val="00CF01BF"/>
    <w:rsid w:val="00CF3964"/>
    <w:rsid w:val="00CF5311"/>
    <w:rsid w:val="00CF616E"/>
    <w:rsid w:val="00D109EB"/>
    <w:rsid w:val="00D112E4"/>
    <w:rsid w:val="00D12A78"/>
    <w:rsid w:val="00D15197"/>
    <w:rsid w:val="00D2269E"/>
    <w:rsid w:val="00D2315B"/>
    <w:rsid w:val="00D2385D"/>
    <w:rsid w:val="00D245AE"/>
    <w:rsid w:val="00D27B78"/>
    <w:rsid w:val="00D34550"/>
    <w:rsid w:val="00D349D8"/>
    <w:rsid w:val="00D41ACB"/>
    <w:rsid w:val="00D464A2"/>
    <w:rsid w:val="00D545DF"/>
    <w:rsid w:val="00D579FC"/>
    <w:rsid w:val="00D57B82"/>
    <w:rsid w:val="00D6346B"/>
    <w:rsid w:val="00D66363"/>
    <w:rsid w:val="00D7195A"/>
    <w:rsid w:val="00D72640"/>
    <w:rsid w:val="00D733D3"/>
    <w:rsid w:val="00D73E2D"/>
    <w:rsid w:val="00D80167"/>
    <w:rsid w:val="00D81C9E"/>
    <w:rsid w:val="00D82AD2"/>
    <w:rsid w:val="00D84300"/>
    <w:rsid w:val="00D86B32"/>
    <w:rsid w:val="00D90194"/>
    <w:rsid w:val="00D903F1"/>
    <w:rsid w:val="00D95D30"/>
    <w:rsid w:val="00D9631D"/>
    <w:rsid w:val="00D966E2"/>
    <w:rsid w:val="00DA0866"/>
    <w:rsid w:val="00DA4283"/>
    <w:rsid w:val="00DA5B8F"/>
    <w:rsid w:val="00DA7863"/>
    <w:rsid w:val="00DB0014"/>
    <w:rsid w:val="00DB0F42"/>
    <w:rsid w:val="00DC79BD"/>
    <w:rsid w:val="00DD113A"/>
    <w:rsid w:val="00DE2E60"/>
    <w:rsid w:val="00DE6378"/>
    <w:rsid w:val="00DF0BDE"/>
    <w:rsid w:val="00DF1564"/>
    <w:rsid w:val="00DF575D"/>
    <w:rsid w:val="00DF6315"/>
    <w:rsid w:val="00E02A09"/>
    <w:rsid w:val="00E07385"/>
    <w:rsid w:val="00E113A3"/>
    <w:rsid w:val="00E1411E"/>
    <w:rsid w:val="00E14B56"/>
    <w:rsid w:val="00E206D0"/>
    <w:rsid w:val="00E208B6"/>
    <w:rsid w:val="00E22B77"/>
    <w:rsid w:val="00E2342F"/>
    <w:rsid w:val="00E23836"/>
    <w:rsid w:val="00E23DC4"/>
    <w:rsid w:val="00E26A2E"/>
    <w:rsid w:val="00E279E8"/>
    <w:rsid w:val="00E32AF3"/>
    <w:rsid w:val="00E45EC7"/>
    <w:rsid w:val="00E47DDD"/>
    <w:rsid w:val="00E530C3"/>
    <w:rsid w:val="00E55440"/>
    <w:rsid w:val="00E57322"/>
    <w:rsid w:val="00E67990"/>
    <w:rsid w:val="00E80008"/>
    <w:rsid w:val="00E82571"/>
    <w:rsid w:val="00E8269E"/>
    <w:rsid w:val="00E86277"/>
    <w:rsid w:val="00E9681E"/>
    <w:rsid w:val="00EA0B72"/>
    <w:rsid w:val="00EA21D1"/>
    <w:rsid w:val="00EA3519"/>
    <w:rsid w:val="00EA401D"/>
    <w:rsid w:val="00EA6035"/>
    <w:rsid w:val="00EA734D"/>
    <w:rsid w:val="00EA7F60"/>
    <w:rsid w:val="00EB4040"/>
    <w:rsid w:val="00EB6471"/>
    <w:rsid w:val="00EC137F"/>
    <w:rsid w:val="00EC1F57"/>
    <w:rsid w:val="00EC2CB7"/>
    <w:rsid w:val="00EC4318"/>
    <w:rsid w:val="00EC7E67"/>
    <w:rsid w:val="00ED1A4B"/>
    <w:rsid w:val="00ED415E"/>
    <w:rsid w:val="00ED5DD4"/>
    <w:rsid w:val="00EE3188"/>
    <w:rsid w:val="00EE32B6"/>
    <w:rsid w:val="00EE5209"/>
    <w:rsid w:val="00EF2F45"/>
    <w:rsid w:val="00EF5969"/>
    <w:rsid w:val="00F03DC8"/>
    <w:rsid w:val="00F053E5"/>
    <w:rsid w:val="00F079EE"/>
    <w:rsid w:val="00F07B56"/>
    <w:rsid w:val="00F110D1"/>
    <w:rsid w:val="00F11200"/>
    <w:rsid w:val="00F1545E"/>
    <w:rsid w:val="00F20C48"/>
    <w:rsid w:val="00F24861"/>
    <w:rsid w:val="00F25260"/>
    <w:rsid w:val="00F25A3A"/>
    <w:rsid w:val="00F34434"/>
    <w:rsid w:val="00F46A91"/>
    <w:rsid w:val="00F51A70"/>
    <w:rsid w:val="00F52BF4"/>
    <w:rsid w:val="00F54D56"/>
    <w:rsid w:val="00F57458"/>
    <w:rsid w:val="00F5789F"/>
    <w:rsid w:val="00F6605F"/>
    <w:rsid w:val="00F665E0"/>
    <w:rsid w:val="00F67387"/>
    <w:rsid w:val="00F67631"/>
    <w:rsid w:val="00F67B1E"/>
    <w:rsid w:val="00F67D3D"/>
    <w:rsid w:val="00F76CAD"/>
    <w:rsid w:val="00F839D2"/>
    <w:rsid w:val="00F85135"/>
    <w:rsid w:val="00F858E2"/>
    <w:rsid w:val="00F92F51"/>
    <w:rsid w:val="00F94E8F"/>
    <w:rsid w:val="00F967B6"/>
    <w:rsid w:val="00FB082D"/>
    <w:rsid w:val="00FB4D8B"/>
    <w:rsid w:val="00FB64E6"/>
    <w:rsid w:val="00FC17EF"/>
    <w:rsid w:val="00FC22E0"/>
    <w:rsid w:val="00FC5B07"/>
    <w:rsid w:val="00FD325F"/>
    <w:rsid w:val="00FD32C0"/>
    <w:rsid w:val="00FD4E72"/>
    <w:rsid w:val="00FD5107"/>
    <w:rsid w:val="00FD6824"/>
    <w:rsid w:val="00FD6C86"/>
    <w:rsid w:val="00FF4D0C"/>
    <w:rsid w:val="00FF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E5656A3"/>
  <w15:docId w15:val="{CC85ABFA-27DE-48C4-920C-6E5231E4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84"/>
    <w:rPr>
      <w:rFonts w:ascii="Times New Roman" w:eastAsia="STKaiti" w:hAnsi="Times New Roman" w:cs="Times New Roman"/>
      <w:kern w:val="0"/>
      <w:sz w:val="22"/>
      <w:lang w:val="en-GB" w:eastAsia="en-US"/>
    </w:rPr>
  </w:style>
  <w:style w:type="paragraph" w:styleId="Heading1">
    <w:name w:val="heading 1"/>
    <w:next w:val="BodyText"/>
    <w:link w:val="Heading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84"/>
    <w:rPr>
      <w:rFonts w:ascii="彩虹黑体" w:eastAsia="彩虹黑体" w:hAnsi="Arial" w:cs="Times New Roman"/>
      <w:kern w:val="0"/>
      <w:sz w:val="30"/>
      <w:szCs w:val="30"/>
    </w:rPr>
  </w:style>
  <w:style w:type="paragraph" w:styleId="ListBullet">
    <w:name w:val="List Bullet"/>
    <w:basedOn w:val="BodyText"/>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BodyText">
    <w:name w:val="Body Text"/>
    <w:basedOn w:val="Normal"/>
    <w:link w:val="BodyTextChar"/>
    <w:uiPriority w:val="99"/>
    <w:semiHidden/>
    <w:unhideWhenUsed/>
    <w:rsid w:val="009E4084"/>
    <w:pPr>
      <w:spacing w:after="120"/>
    </w:pPr>
  </w:style>
  <w:style w:type="character" w:customStyle="1" w:styleId="BodyTextChar">
    <w:name w:val="Body Text Char"/>
    <w:basedOn w:val="DefaultParagraphFont"/>
    <w:link w:val="BodyText"/>
    <w:uiPriority w:val="99"/>
    <w:semiHidden/>
    <w:rsid w:val="009E4084"/>
    <w:rPr>
      <w:rFonts w:ascii="Times New Roman" w:eastAsia="STKaiti" w:hAnsi="Times New Roman" w:cs="Times New Roman"/>
      <w:kern w:val="0"/>
      <w:sz w:val="22"/>
      <w:lang w:val="en-GB" w:eastAsia="en-US"/>
    </w:rPr>
  </w:style>
  <w:style w:type="paragraph" w:styleId="Header">
    <w:name w:val="header"/>
    <w:basedOn w:val="Normal"/>
    <w:link w:val="HeaderChar"/>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C5D4D"/>
    <w:rPr>
      <w:rFonts w:ascii="Times New Roman" w:eastAsia="STKaiti" w:hAnsi="Times New Roman" w:cs="Times New Roman"/>
      <w:kern w:val="0"/>
      <w:sz w:val="18"/>
      <w:szCs w:val="18"/>
      <w:lang w:val="en-GB" w:eastAsia="en-US"/>
    </w:rPr>
  </w:style>
  <w:style w:type="paragraph" w:styleId="Footer">
    <w:name w:val="footer"/>
    <w:basedOn w:val="Normal"/>
    <w:link w:val="FooterChar"/>
    <w:uiPriority w:val="99"/>
    <w:unhideWhenUsed/>
    <w:rsid w:val="005C5D4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C5D4D"/>
    <w:rPr>
      <w:rFonts w:ascii="Times New Roman" w:eastAsia="STKaiti"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A272B1"/>
    <w:rPr>
      <w:sz w:val="18"/>
      <w:szCs w:val="18"/>
    </w:rPr>
  </w:style>
  <w:style w:type="character" w:customStyle="1" w:styleId="BalloonTextChar">
    <w:name w:val="Balloon Text Char"/>
    <w:basedOn w:val="DefaultParagraphFont"/>
    <w:link w:val="BalloonText"/>
    <w:uiPriority w:val="99"/>
    <w:semiHidden/>
    <w:rsid w:val="00A272B1"/>
    <w:rPr>
      <w:rFonts w:ascii="Times New Roman" w:eastAsia="STKaiti" w:hAnsi="Times New Roman" w:cs="Times New Roman"/>
      <w:kern w:val="0"/>
      <w:sz w:val="18"/>
      <w:szCs w:val="18"/>
      <w:lang w:val="en-GB" w:eastAsia="en-US"/>
    </w:rPr>
  </w:style>
  <w:style w:type="character" w:styleId="CommentReference">
    <w:name w:val="annotation reference"/>
    <w:basedOn w:val="DefaultParagraphFont"/>
    <w:uiPriority w:val="99"/>
    <w:semiHidden/>
    <w:unhideWhenUsed/>
    <w:rsid w:val="006363DD"/>
    <w:rPr>
      <w:sz w:val="21"/>
      <w:szCs w:val="21"/>
    </w:rPr>
  </w:style>
  <w:style w:type="paragraph" w:styleId="CommentText">
    <w:name w:val="annotation text"/>
    <w:basedOn w:val="Normal"/>
    <w:link w:val="CommentTextChar"/>
    <w:uiPriority w:val="99"/>
    <w:semiHidden/>
    <w:unhideWhenUsed/>
    <w:rsid w:val="006363DD"/>
  </w:style>
  <w:style w:type="character" w:customStyle="1" w:styleId="CommentTextChar">
    <w:name w:val="Comment Text Char"/>
    <w:basedOn w:val="DefaultParagraphFont"/>
    <w:link w:val="CommentText"/>
    <w:uiPriority w:val="99"/>
    <w:semiHidden/>
    <w:rsid w:val="006363DD"/>
    <w:rPr>
      <w:rFonts w:ascii="Times New Roman" w:eastAsia="STKaiti" w:hAnsi="Times New Roman" w:cs="Times New Roman"/>
      <w:kern w:val="0"/>
      <w:sz w:val="22"/>
      <w:lang w:val="en-GB" w:eastAsia="en-US"/>
    </w:rPr>
  </w:style>
  <w:style w:type="paragraph" w:styleId="CommentSubject">
    <w:name w:val="annotation subject"/>
    <w:basedOn w:val="CommentText"/>
    <w:next w:val="CommentText"/>
    <w:link w:val="CommentSubjectChar"/>
    <w:uiPriority w:val="99"/>
    <w:semiHidden/>
    <w:unhideWhenUsed/>
    <w:rsid w:val="006363DD"/>
    <w:rPr>
      <w:b/>
      <w:bCs/>
    </w:rPr>
  </w:style>
  <w:style w:type="character" w:customStyle="1" w:styleId="CommentSubjectChar">
    <w:name w:val="Comment Subject Char"/>
    <w:basedOn w:val="CommentTextChar"/>
    <w:link w:val="CommentSubject"/>
    <w:uiPriority w:val="99"/>
    <w:semiHidden/>
    <w:rsid w:val="006363DD"/>
    <w:rPr>
      <w:rFonts w:ascii="Times New Roman" w:eastAsia="STKaiti" w:hAnsi="Times New Roman" w:cs="Times New Roman"/>
      <w:b/>
      <w:bCs/>
      <w:kern w:val="0"/>
      <w:sz w:val="22"/>
      <w:lang w:val="en-GB" w:eastAsia="en-US"/>
    </w:rPr>
  </w:style>
  <w:style w:type="character" w:styleId="Hyperlink">
    <w:name w:val="Hyperlink"/>
    <w:basedOn w:val="DefaultParagraphFont"/>
    <w:uiPriority w:val="99"/>
    <w:unhideWhenUsed/>
    <w:rsid w:val="00D80167"/>
    <w:rPr>
      <w:color w:val="0000FF" w:themeColor="hyperlink"/>
      <w:u w:val="single"/>
    </w:rPr>
  </w:style>
  <w:style w:type="paragraph" w:styleId="NoSpacing">
    <w:name w:val="No Spacing"/>
    <w:uiPriority w:val="1"/>
    <w:qFormat/>
    <w:rsid w:val="0095717E"/>
    <w:rPr>
      <w:rFonts w:ascii="Times New Roman" w:eastAsia="STKaiti" w:hAnsi="Times New Roman" w:cs="Times New Roman"/>
      <w:kern w:val="0"/>
      <w:sz w:val="22"/>
      <w:lang w:val="en-GB" w:eastAsia="en-US"/>
    </w:rPr>
  </w:style>
  <w:style w:type="paragraph" w:styleId="Revision">
    <w:name w:val="Revision"/>
    <w:hidden/>
    <w:uiPriority w:val="99"/>
    <w:semiHidden/>
    <w:rsid w:val="00065F0C"/>
    <w:rPr>
      <w:rFonts w:ascii="Times New Roman" w:eastAsia="STKaiti" w:hAnsi="Times New Roman" w:cs="Times New Roman"/>
      <w:kern w:val="0"/>
      <w:sz w:val="22"/>
      <w:lang w:val="en-GB" w:eastAsia="en-US"/>
    </w:rPr>
  </w:style>
  <w:style w:type="paragraph" w:styleId="NormalWeb">
    <w:name w:val="Normal (Web)"/>
    <w:basedOn w:val="Normal"/>
    <w:uiPriority w:val="99"/>
    <w:semiHidden/>
    <w:unhideWhenUsed/>
    <w:rsid w:val="00BF0459"/>
    <w:pPr>
      <w:spacing w:before="100" w:beforeAutospacing="1" w:after="100" w:afterAutospacing="1"/>
    </w:pPr>
    <w:rPr>
      <w:rFonts w:ascii="SimSun" w:eastAsia="SimSun" w:hAnsi="SimSun" w:cs="SimSun"/>
      <w:sz w:val="24"/>
      <w:szCs w:val="24"/>
      <w:lang w:val="en-US" w:eastAsia="zh-CN"/>
    </w:rPr>
  </w:style>
  <w:style w:type="paragraph" w:styleId="HTMLPreformatted">
    <w:name w:val="HTML Preformatted"/>
    <w:basedOn w:val="Normal"/>
    <w:link w:val="HTMLPreformattedChar"/>
    <w:uiPriority w:val="99"/>
    <w:semiHidden/>
    <w:unhideWhenUsed/>
    <w:rsid w:val="004424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424CF"/>
    <w:rPr>
      <w:rFonts w:ascii="Consolas" w:eastAsia="STKaiti" w:hAnsi="Consolas" w:cs="Times New Roman"/>
      <w:kern w:val="0"/>
      <w:sz w:val="20"/>
      <w:szCs w:val="20"/>
      <w:lang w:val="en-GB" w:eastAsia="en-US"/>
    </w:rPr>
  </w:style>
  <w:style w:type="paragraph" w:styleId="Title">
    <w:name w:val="Title"/>
    <w:basedOn w:val="Normal"/>
    <w:next w:val="Normal"/>
    <w:link w:val="TitleChar"/>
    <w:qFormat/>
    <w:rsid w:val="00462C8E"/>
    <w:pPr>
      <w:spacing w:before="240" w:after="60" w:line="276" w:lineRule="auto"/>
      <w:jc w:val="center"/>
      <w:outlineLvl w:val="0"/>
    </w:pPr>
    <w:rPr>
      <w:rFonts w:asciiTheme="majorHAnsi" w:eastAsia="SimSun" w:hAnsiTheme="majorHAnsi" w:cstheme="majorBidi"/>
      <w:b/>
      <w:bCs/>
      <w:sz w:val="32"/>
      <w:szCs w:val="32"/>
      <w:lang w:val="en-US" w:eastAsia="zh-CN"/>
    </w:rPr>
  </w:style>
  <w:style w:type="character" w:customStyle="1" w:styleId="TitleChar">
    <w:name w:val="Title Char"/>
    <w:basedOn w:val="DefaultParagraphFont"/>
    <w:link w:val="Title"/>
    <w:rsid w:val="00462C8E"/>
    <w:rPr>
      <w:rFonts w:asciiTheme="majorHAnsi" w:eastAsia="SimSun" w:hAnsiTheme="majorHAnsi" w:cstheme="majorBidi"/>
      <w:b/>
      <w:bCs/>
      <w:kern w:val="0"/>
      <w:sz w:val="32"/>
      <w:szCs w:val="32"/>
    </w:rPr>
  </w:style>
  <w:style w:type="paragraph" w:styleId="FootnoteText">
    <w:name w:val="footnote text"/>
    <w:basedOn w:val="Normal"/>
    <w:link w:val="FootnoteTextChar"/>
    <w:uiPriority w:val="99"/>
    <w:rsid w:val="00462C8E"/>
    <w:pPr>
      <w:overflowPunct w:val="0"/>
      <w:autoSpaceDE w:val="0"/>
      <w:autoSpaceDN w:val="0"/>
      <w:adjustRightInd w:val="0"/>
      <w:snapToGrid w:val="0"/>
      <w:spacing w:after="120"/>
      <w:textAlignment w:val="baseline"/>
    </w:pPr>
    <w:rPr>
      <w:rFonts w:ascii="Arial" w:eastAsia="SimSun" w:hAnsi="Arial"/>
      <w:sz w:val="18"/>
      <w:szCs w:val="18"/>
      <w:lang w:val="x-none"/>
    </w:rPr>
  </w:style>
  <w:style w:type="character" w:customStyle="1" w:styleId="FootnoteTextChar">
    <w:name w:val="Footnote Text Char"/>
    <w:basedOn w:val="DefaultParagraphFont"/>
    <w:link w:val="FootnoteText"/>
    <w:uiPriority w:val="99"/>
    <w:rsid w:val="00462C8E"/>
    <w:rPr>
      <w:rFonts w:ascii="Arial" w:eastAsia="SimSun" w:hAnsi="Arial" w:cs="Times New Roman"/>
      <w:kern w:val="0"/>
      <w:sz w:val="18"/>
      <w:szCs w:val="18"/>
      <w:lang w:val="x-none" w:eastAsia="en-US"/>
    </w:rPr>
  </w:style>
  <w:style w:type="character" w:styleId="FootnoteReference">
    <w:name w:val="footnote reference"/>
    <w:uiPriority w:val="99"/>
    <w:rsid w:val="00462C8E"/>
    <w:rPr>
      <w:vertAlign w:val="superscript"/>
    </w:rPr>
  </w:style>
  <w:style w:type="paragraph" w:styleId="ListParagraph">
    <w:name w:val="List Paragraph"/>
    <w:basedOn w:val="Normal"/>
    <w:uiPriority w:val="34"/>
    <w:qFormat/>
    <w:rsid w:val="0065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60917">
      <w:bodyDiv w:val="1"/>
      <w:marLeft w:val="0"/>
      <w:marRight w:val="0"/>
      <w:marTop w:val="0"/>
      <w:marBottom w:val="0"/>
      <w:divBdr>
        <w:top w:val="none" w:sz="0" w:space="0" w:color="auto"/>
        <w:left w:val="none" w:sz="0" w:space="0" w:color="auto"/>
        <w:bottom w:val="none" w:sz="0" w:space="0" w:color="auto"/>
        <w:right w:val="none" w:sz="0" w:space="0" w:color="auto"/>
      </w:divBdr>
    </w:div>
    <w:div w:id="225075125">
      <w:bodyDiv w:val="1"/>
      <w:marLeft w:val="0"/>
      <w:marRight w:val="0"/>
      <w:marTop w:val="0"/>
      <w:marBottom w:val="0"/>
      <w:divBdr>
        <w:top w:val="none" w:sz="0" w:space="0" w:color="auto"/>
        <w:left w:val="none" w:sz="0" w:space="0" w:color="auto"/>
        <w:bottom w:val="none" w:sz="0" w:space="0" w:color="auto"/>
        <w:right w:val="none" w:sz="0" w:space="0" w:color="auto"/>
      </w:divBdr>
    </w:div>
    <w:div w:id="447161512">
      <w:bodyDiv w:val="1"/>
      <w:marLeft w:val="0"/>
      <w:marRight w:val="0"/>
      <w:marTop w:val="0"/>
      <w:marBottom w:val="0"/>
      <w:divBdr>
        <w:top w:val="none" w:sz="0" w:space="0" w:color="auto"/>
        <w:left w:val="none" w:sz="0" w:space="0" w:color="auto"/>
        <w:bottom w:val="none" w:sz="0" w:space="0" w:color="auto"/>
        <w:right w:val="none" w:sz="0" w:space="0" w:color="auto"/>
      </w:divBdr>
      <w:divsChild>
        <w:div w:id="1767379439">
          <w:marLeft w:val="0"/>
          <w:marRight w:val="0"/>
          <w:marTop w:val="0"/>
          <w:marBottom w:val="0"/>
          <w:divBdr>
            <w:top w:val="none" w:sz="0" w:space="0" w:color="auto"/>
            <w:left w:val="none" w:sz="0" w:space="0" w:color="auto"/>
            <w:bottom w:val="none" w:sz="0" w:space="0" w:color="auto"/>
            <w:right w:val="none" w:sz="0" w:space="0" w:color="auto"/>
          </w:divBdr>
          <w:divsChild>
            <w:div w:id="99953476">
              <w:marLeft w:val="0"/>
              <w:marRight w:val="0"/>
              <w:marTop w:val="0"/>
              <w:marBottom w:val="0"/>
              <w:divBdr>
                <w:top w:val="none" w:sz="0" w:space="0" w:color="auto"/>
                <w:left w:val="none" w:sz="0" w:space="0" w:color="auto"/>
                <w:bottom w:val="none" w:sz="0" w:space="0" w:color="auto"/>
                <w:right w:val="none" w:sz="0" w:space="0" w:color="auto"/>
              </w:divBdr>
              <w:divsChild>
                <w:div w:id="1107235725">
                  <w:marLeft w:val="0"/>
                  <w:marRight w:val="0"/>
                  <w:marTop w:val="0"/>
                  <w:marBottom w:val="0"/>
                  <w:divBdr>
                    <w:top w:val="none" w:sz="0" w:space="0" w:color="auto"/>
                    <w:left w:val="none" w:sz="0" w:space="0" w:color="auto"/>
                    <w:bottom w:val="none" w:sz="0" w:space="0" w:color="auto"/>
                    <w:right w:val="none" w:sz="0" w:space="0" w:color="auto"/>
                  </w:divBdr>
                  <w:divsChild>
                    <w:div w:id="1038168076">
                      <w:marLeft w:val="0"/>
                      <w:marRight w:val="0"/>
                      <w:marTop w:val="0"/>
                      <w:marBottom w:val="0"/>
                      <w:divBdr>
                        <w:top w:val="none" w:sz="0" w:space="0" w:color="auto"/>
                        <w:left w:val="none" w:sz="0" w:space="0" w:color="auto"/>
                        <w:bottom w:val="none" w:sz="0" w:space="0" w:color="auto"/>
                        <w:right w:val="none" w:sz="0" w:space="0" w:color="auto"/>
                      </w:divBdr>
                      <w:divsChild>
                        <w:div w:id="149636996">
                          <w:marLeft w:val="0"/>
                          <w:marRight w:val="0"/>
                          <w:marTop w:val="0"/>
                          <w:marBottom w:val="0"/>
                          <w:divBdr>
                            <w:top w:val="none" w:sz="0" w:space="0" w:color="auto"/>
                            <w:left w:val="none" w:sz="0" w:space="0" w:color="auto"/>
                            <w:bottom w:val="none" w:sz="0" w:space="0" w:color="auto"/>
                            <w:right w:val="none" w:sz="0" w:space="0" w:color="auto"/>
                          </w:divBdr>
                          <w:divsChild>
                            <w:div w:id="1550609973">
                              <w:marLeft w:val="0"/>
                              <w:marRight w:val="0"/>
                              <w:marTop w:val="0"/>
                              <w:marBottom w:val="0"/>
                              <w:divBdr>
                                <w:top w:val="none" w:sz="0" w:space="0" w:color="auto"/>
                                <w:left w:val="none" w:sz="0" w:space="0" w:color="auto"/>
                                <w:bottom w:val="none" w:sz="0" w:space="0" w:color="auto"/>
                                <w:right w:val="none" w:sz="0" w:space="0" w:color="auto"/>
                              </w:divBdr>
                              <w:divsChild>
                                <w:div w:id="1709644147">
                                  <w:marLeft w:val="0"/>
                                  <w:marRight w:val="0"/>
                                  <w:marTop w:val="0"/>
                                  <w:marBottom w:val="0"/>
                                  <w:divBdr>
                                    <w:top w:val="none" w:sz="0" w:space="0" w:color="auto"/>
                                    <w:left w:val="none" w:sz="0" w:space="0" w:color="auto"/>
                                    <w:bottom w:val="none" w:sz="0" w:space="0" w:color="auto"/>
                                    <w:right w:val="none" w:sz="0" w:space="0" w:color="auto"/>
                                  </w:divBdr>
                                  <w:divsChild>
                                    <w:div w:id="122162957">
                                      <w:marLeft w:val="0"/>
                                      <w:marRight w:val="0"/>
                                      <w:marTop w:val="0"/>
                                      <w:marBottom w:val="0"/>
                                      <w:divBdr>
                                        <w:top w:val="none" w:sz="0" w:space="0" w:color="auto"/>
                                        <w:left w:val="none" w:sz="0" w:space="0" w:color="auto"/>
                                        <w:bottom w:val="none" w:sz="0" w:space="0" w:color="auto"/>
                                        <w:right w:val="none" w:sz="0" w:space="0" w:color="auto"/>
                                      </w:divBdr>
                                      <w:divsChild>
                                        <w:div w:id="1319266068">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916054">
      <w:bodyDiv w:val="1"/>
      <w:marLeft w:val="0"/>
      <w:marRight w:val="0"/>
      <w:marTop w:val="0"/>
      <w:marBottom w:val="0"/>
      <w:divBdr>
        <w:top w:val="none" w:sz="0" w:space="0" w:color="auto"/>
        <w:left w:val="none" w:sz="0" w:space="0" w:color="auto"/>
        <w:bottom w:val="none" w:sz="0" w:space="0" w:color="auto"/>
        <w:right w:val="none" w:sz="0" w:space="0" w:color="auto"/>
      </w:divBdr>
    </w:div>
    <w:div w:id="782846813">
      <w:bodyDiv w:val="1"/>
      <w:marLeft w:val="0"/>
      <w:marRight w:val="0"/>
      <w:marTop w:val="0"/>
      <w:marBottom w:val="0"/>
      <w:divBdr>
        <w:top w:val="none" w:sz="0" w:space="0" w:color="auto"/>
        <w:left w:val="none" w:sz="0" w:space="0" w:color="auto"/>
        <w:bottom w:val="none" w:sz="0" w:space="0" w:color="auto"/>
        <w:right w:val="none" w:sz="0" w:space="0" w:color="auto"/>
      </w:divBdr>
    </w:div>
    <w:div w:id="854687168">
      <w:bodyDiv w:val="1"/>
      <w:marLeft w:val="0"/>
      <w:marRight w:val="0"/>
      <w:marTop w:val="0"/>
      <w:marBottom w:val="0"/>
      <w:divBdr>
        <w:top w:val="none" w:sz="0" w:space="0" w:color="auto"/>
        <w:left w:val="none" w:sz="0" w:space="0" w:color="auto"/>
        <w:bottom w:val="none" w:sz="0" w:space="0" w:color="auto"/>
        <w:right w:val="none" w:sz="0" w:space="0" w:color="auto"/>
      </w:divBdr>
      <w:divsChild>
        <w:div w:id="871648536">
          <w:marLeft w:val="0"/>
          <w:marRight w:val="0"/>
          <w:marTop w:val="0"/>
          <w:marBottom w:val="0"/>
          <w:divBdr>
            <w:top w:val="none" w:sz="0" w:space="0" w:color="auto"/>
            <w:left w:val="none" w:sz="0" w:space="0" w:color="auto"/>
            <w:bottom w:val="none" w:sz="0" w:space="0" w:color="auto"/>
            <w:right w:val="none" w:sz="0" w:space="0" w:color="auto"/>
          </w:divBdr>
          <w:divsChild>
            <w:div w:id="1801217389">
              <w:marLeft w:val="0"/>
              <w:marRight w:val="0"/>
              <w:marTop w:val="0"/>
              <w:marBottom w:val="0"/>
              <w:divBdr>
                <w:top w:val="none" w:sz="0" w:space="0" w:color="auto"/>
                <w:left w:val="none" w:sz="0" w:space="0" w:color="auto"/>
                <w:bottom w:val="none" w:sz="0" w:space="0" w:color="auto"/>
                <w:right w:val="none" w:sz="0" w:space="0" w:color="auto"/>
              </w:divBdr>
              <w:divsChild>
                <w:div w:id="1554464195">
                  <w:marLeft w:val="0"/>
                  <w:marRight w:val="0"/>
                  <w:marTop w:val="0"/>
                  <w:marBottom w:val="0"/>
                  <w:divBdr>
                    <w:top w:val="none" w:sz="0" w:space="0" w:color="auto"/>
                    <w:left w:val="none" w:sz="0" w:space="0" w:color="auto"/>
                    <w:bottom w:val="none" w:sz="0" w:space="0" w:color="auto"/>
                    <w:right w:val="none" w:sz="0" w:space="0" w:color="auto"/>
                  </w:divBdr>
                  <w:divsChild>
                    <w:div w:id="2044819884">
                      <w:marLeft w:val="0"/>
                      <w:marRight w:val="0"/>
                      <w:marTop w:val="0"/>
                      <w:marBottom w:val="0"/>
                      <w:divBdr>
                        <w:top w:val="none" w:sz="0" w:space="0" w:color="auto"/>
                        <w:left w:val="none" w:sz="0" w:space="0" w:color="auto"/>
                        <w:bottom w:val="none" w:sz="0" w:space="0" w:color="auto"/>
                        <w:right w:val="none" w:sz="0" w:space="0" w:color="auto"/>
                      </w:divBdr>
                      <w:divsChild>
                        <w:div w:id="1113600490">
                          <w:marLeft w:val="0"/>
                          <w:marRight w:val="0"/>
                          <w:marTop w:val="0"/>
                          <w:marBottom w:val="0"/>
                          <w:divBdr>
                            <w:top w:val="none" w:sz="0" w:space="0" w:color="auto"/>
                            <w:left w:val="none" w:sz="0" w:space="0" w:color="auto"/>
                            <w:bottom w:val="none" w:sz="0" w:space="0" w:color="auto"/>
                            <w:right w:val="none" w:sz="0" w:space="0" w:color="auto"/>
                          </w:divBdr>
                          <w:divsChild>
                            <w:div w:id="1868635527">
                              <w:marLeft w:val="0"/>
                              <w:marRight w:val="0"/>
                              <w:marTop w:val="0"/>
                              <w:marBottom w:val="0"/>
                              <w:divBdr>
                                <w:top w:val="none" w:sz="0" w:space="0" w:color="auto"/>
                                <w:left w:val="none" w:sz="0" w:space="0" w:color="auto"/>
                                <w:bottom w:val="none" w:sz="0" w:space="0" w:color="auto"/>
                                <w:right w:val="none" w:sz="0" w:space="0" w:color="auto"/>
                              </w:divBdr>
                              <w:divsChild>
                                <w:div w:id="1455367377">
                                  <w:marLeft w:val="0"/>
                                  <w:marRight w:val="0"/>
                                  <w:marTop w:val="0"/>
                                  <w:marBottom w:val="0"/>
                                  <w:divBdr>
                                    <w:top w:val="none" w:sz="0" w:space="0" w:color="auto"/>
                                    <w:left w:val="none" w:sz="0" w:space="0" w:color="auto"/>
                                    <w:bottom w:val="none" w:sz="0" w:space="0" w:color="auto"/>
                                    <w:right w:val="none" w:sz="0" w:space="0" w:color="auto"/>
                                  </w:divBdr>
                                  <w:divsChild>
                                    <w:div w:id="1453399001">
                                      <w:marLeft w:val="0"/>
                                      <w:marRight w:val="0"/>
                                      <w:marTop w:val="0"/>
                                      <w:marBottom w:val="0"/>
                                      <w:divBdr>
                                        <w:top w:val="none" w:sz="0" w:space="0" w:color="auto"/>
                                        <w:left w:val="none" w:sz="0" w:space="0" w:color="auto"/>
                                        <w:bottom w:val="none" w:sz="0" w:space="0" w:color="auto"/>
                                        <w:right w:val="none" w:sz="0" w:space="0" w:color="auto"/>
                                      </w:divBdr>
                                      <w:divsChild>
                                        <w:div w:id="1082726110">
                                          <w:marLeft w:val="0"/>
                                          <w:marRight w:val="0"/>
                                          <w:marTop w:val="0"/>
                                          <w:marBottom w:val="0"/>
                                          <w:divBdr>
                                            <w:top w:val="none" w:sz="0" w:space="0" w:color="auto"/>
                                            <w:left w:val="none" w:sz="0" w:space="0" w:color="auto"/>
                                            <w:bottom w:val="none" w:sz="0" w:space="0" w:color="auto"/>
                                            <w:right w:val="none" w:sz="0" w:space="0" w:color="auto"/>
                                          </w:divBdr>
                                          <w:divsChild>
                                            <w:div w:id="1836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780381">
      <w:bodyDiv w:val="1"/>
      <w:marLeft w:val="0"/>
      <w:marRight w:val="0"/>
      <w:marTop w:val="0"/>
      <w:marBottom w:val="0"/>
      <w:divBdr>
        <w:top w:val="none" w:sz="0" w:space="0" w:color="auto"/>
        <w:left w:val="none" w:sz="0" w:space="0" w:color="auto"/>
        <w:bottom w:val="none" w:sz="0" w:space="0" w:color="auto"/>
        <w:right w:val="none" w:sz="0" w:space="0" w:color="auto"/>
      </w:divBdr>
    </w:div>
    <w:div w:id="1710062459">
      <w:bodyDiv w:val="1"/>
      <w:marLeft w:val="0"/>
      <w:marRight w:val="0"/>
      <w:marTop w:val="0"/>
      <w:marBottom w:val="0"/>
      <w:divBdr>
        <w:top w:val="none" w:sz="0" w:space="0" w:color="auto"/>
        <w:left w:val="none" w:sz="0" w:space="0" w:color="auto"/>
        <w:bottom w:val="none" w:sz="0" w:space="0" w:color="auto"/>
        <w:right w:val="none" w:sz="0" w:space="0" w:color="auto"/>
      </w:divBdr>
    </w:div>
    <w:div w:id="1802729622">
      <w:bodyDiv w:val="1"/>
      <w:marLeft w:val="0"/>
      <w:marRight w:val="0"/>
      <w:marTop w:val="0"/>
      <w:marBottom w:val="0"/>
      <w:divBdr>
        <w:top w:val="none" w:sz="0" w:space="0" w:color="auto"/>
        <w:left w:val="none" w:sz="0" w:space="0" w:color="auto"/>
        <w:bottom w:val="none" w:sz="0" w:space="0" w:color="auto"/>
        <w:right w:val="none" w:sz="0" w:space="0" w:color="auto"/>
      </w:divBdr>
    </w:div>
    <w:div w:id="20409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FA2D0-AEC0-4177-A7E1-DED415172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李承阳</dc:creator>
  <cp:lastModifiedBy>Yeung, Carol</cp:lastModifiedBy>
  <cp:revision>5</cp:revision>
  <cp:lastPrinted>2017-08-30T13:34:00Z</cp:lastPrinted>
  <dcterms:created xsi:type="dcterms:W3CDTF">2020-04-28T13:03:00Z</dcterms:created>
  <dcterms:modified xsi:type="dcterms:W3CDTF">2020-04-28T13:22:00Z</dcterms:modified>
</cp:coreProperties>
</file>